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8D" w:rsidRPr="0002256C" w:rsidRDefault="009B348D" w:rsidP="009B348D">
      <w:pPr>
        <w:ind w:left="0"/>
        <w:jc w:val="right"/>
        <w:rPr>
          <w:lang w:val="ro-RO"/>
        </w:rPr>
      </w:pPr>
    </w:p>
    <w:p w:rsidR="0095119D" w:rsidRPr="0095119D" w:rsidRDefault="0095119D" w:rsidP="0095119D">
      <w:pPr>
        <w:spacing w:after="0" w:line="240" w:lineRule="auto"/>
        <w:ind w:left="-1276" w:right="418"/>
        <w:jc w:val="right"/>
        <w:rPr>
          <w:rFonts w:eastAsia="Times New Roman"/>
          <w:b/>
          <w:lang w:val="ro-RO" w:eastAsia="ro-RO"/>
        </w:rPr>
      </w:pPr>
    </w:p>
    <w:p w:rsidR="00B27FAC" w:rsidRPr="001D666A" w:rsidRDefault="001D666A" w:rsidP="00B27FAC">
      <w:pPr>
        <w:spacing w:after="160" w:line="256" w:lineRule="auto"/>
        <w:ind w:left="0"/>
        <w:jc w:val="right"/>
        <w:rPr>
          <w:b/>
          <w:lang w:val="ro-RO"/>
        </w:rPr>
      </w:pPr>
      <w:r w:rsidRPr="001D666A">
        <w:rPr>
          <w:rFonts w:cs="Arial"/>
          <w:b/>
          <w:color w:val="000000" w:themeColor="text1"/>
          <w:lang w:val="ro-RO"/>
        </w:rPr>
        <w:tab/>
      </w:r>
    </w:p>
    <w:p w:rsidR="001D666A" w:rsidRPr="001D666A" w:rsidRDefault="001D666A" w:rsidP="001D666A">
      <w:pPr>
        <w:spacing w:after="160" w:line="256" w:lineRule="auto"/>
        <w:ind w:left="0"/>
        <w:jc w:val="right"/>
        <w:rPr>
          <w:b/>
          <w:lang w:val="ro-RO"/>
        </w:rPr>
      </w:pPr>
    </w:p>
    <w:p w:rsidR="001D666A" w:rsidRPr="001D666A" w:rsidRDefault="001D666A" w:rsidP="001D666A">
      <w:pPr>
        <w:spacing w:after="160" w:line="256" w:lineRule="auto"/>
        <w:ind w:left="0"/>
        <w:rPr>
          <w:b/>
          <w:lang w:val="ro-RO"/>
        </w:rPr>
      </w:pPr>
      <w:r w:rsidRPr="001D666A">
        <w:rPr>
          <w:b/>
          <w:lang w:val="ro-RO"/>
        </w:rPr>
        <w:tab/>
      </w:r>
      <w:r w:rsidRPr="001D666A">
        <w:rPr>
          <w:rFonts w:cs="Arial"/>
          <w:b/>
          <w:color w:val="000000" w:themeColor="text1"/>
          <w:lang w:val="ro-RO"/>
        </w:rPr>
        <w:tab/>
      </w:r>
      <w:r w:rsidRPr="001D666A">
        <w:rPr>
          <w:rFonts w:cs="Arial"/>
          <w:b/>
          <w:color w:val="000000" w:themeColor="text1"/>
          <w:lang w:val="ro-RO"/>
        </w:rPr>
        <w:tab/>
      </w:r>
    </w:p>
    <w:p w:rsidR="001D666A" w:rsidRPr="001D666A" w:rsidRDefault="001D666A" w:rsidP="001D666A">
      <w:pPr>
        <w:spacing w:after="0"/>
        <w:ind w:left="0"/>
        <w:rPr>
          <w:b/>
          <w:lang w:val="ro-RO"/>
        </w:rPr>
      </w:pPr>
    </w:p>
    <w:p w:rsidR="001D666A" w:rsidRPr="001D666A" w:rsidRDefault="001D666A" w:rsidP="001D666A">
      <w:pPr>
        <w:spacing w:after="0"/>
        <w:ind w:left="0"/>
        <w:rPr>
          <w:b/>
          <w:lang w:val="ro-RO"/>
        </w:rPr>
      </w:pPr>
      <w:r w:rsidRPr="001D666A">
        <w:rPr>
          <w:b/>
          <w:lang w:val="ro-RO"/>
        </w:rPr>
        <w:t>Bibliografie propusă:</w:t>
      </w:r>
    </w:p>
    <w:p w:rsidR="001D666A" w:rsidRPr="001D666A" w:rsidRDefault="001D666A" w:rsidP="001D666A">
      <w:pPr>
        <w:spacing w:after="0"/>
        <w:ind w:left="0"/>
        <w:rPr>
          <w:b/>
          <w:lang w:val="ro-RO"/>
        </w:rPr>
      </w:pPr>
    </w:p>
    <w:p w:rsidR="001D666A" w:rsidRPr="001D666A" w:rsidRDefault="001D666A" w:rsidP="001D666A">
      <w:pPr>
        <w:spacing w:after="0"/>
        <w:ind w:left="0"/>
        <w:rPr>
          <w:b/>
          <w:lang w:val="ro-RO"/>
        </w:rPr>
      </w:pPr>
      <w:r w:rsidRPr="001D666A">
        <w:rPr>
          <w:b/>
          <w:lang w:val="ro-RO"/>
        </w:rPr>
        <w:t xml:space="preserve">Consilier, grad profesional principal în domeniul financiar – contabil cu atribuții de contabilitate </w:t>
      </w:r>
      <w:proofErr w:type="spellStart"/>
      <w:r w:rsidRPr="001D666A">
        <w:rPr>
          <w:b/>
          <w:lang w:val="ro-RO"/>
        </w:rPr>
        <w:t>şi</w:t>
      </w:r>
      <w:proofErr w:type="spellEnd"/>
      <w:r w:rsidRPr="001D666A">
        <w:rPr>
          <w:b/>
          <w:lang w:val="ro-RO"/>
        </w:rPr>
        <w:t xml:space="preserve"> salarizare, ID:4549973</w:t>
      </w:r>
    </w:p>
    <w:p w:rsidR="001D666A" w:rsidRPr="001D666A" w:rsidRDefault="001D666A" w:rsidP="001D666A">
      <w:pPr>
        <w:spacing w:after="0"/>
        <w:ind w:left="0"/>
        <w:rPr>
          <w:b/>
          <w:lang w:val="ro-RO"/>
        </w:rPr>
      </w:pPr>
    </w:p>
    <w:p w:rsidR="001D666A" w:rsidRPr="001D666A" w:rsidRDefault="001D666A" w:rsidP="001D666A">
      <w:pPr>
        <w:numPr>
          <w:ilvl w:val="0"/>
          <w:numId w:val="15"/>
        </w:numPr>
        <w:spacing w:after="0" w:line="360" w:lineRule="auto"/>
        <w:rPr>
          <w:rFonts w:eastAsia="Calibri"/>
          <w:lang w:val="ro-RO"/>
        </w:rPr>
      </w:pPr>
      <w:bookmarkStart w:id="0" w:name="_Hlk77835372"/>
      <w:proofErr w:type="spellStart"/>
      <w:r w:rsidRPr="001D666A">
        <w:rPr>
          <w:rFonts w:eastAsia="Calibri"/>
          <w:lang w:val="ro-RO"/>
        </w:rPr>
        <w:t>Constituţia</w:t>
      </w:r>
      <w:proofErr w:type="spellEnd"/>
      <w:r w:rsidRPr="001D666A">
        <w:rPr>
          <w:rFonts w:eastAsia="Calibri"/>
          <w:lang w:val="ro-RO"/>
        </w:rPr>
        <w:t xml:space="preserve"> României, republicată;</w:t>
      </w:r>
    </w:p>
    <w:p w:rsidR="001D666A" w:rsidRPr="001D666A" w:rsidRDefault="001D666A" w:rsidP="001D666A">
      <w:pPr>
        <w:numPr>
          <w:ilvl w:val="0"/>
          <w:numId w:val="15"/>
        </w:numPr>
        <w:spacing w:after="0" w:line="360" w:lineRule="auto"/>
        <w:rPr>
          <w:rFonts w:eastAsia="Calibri"/>
          <w:lang w:val="ro-RO"/>
        </w:rPr>
      </w:pPr>
      <w:r w:rsidRPr="001D666A">
        <w:rPr>
          <w:rFonts w:eastAsia="Calibri"/>
          <w:lang w:val="ro-RO"/>
        </w:rPr>
        <w:t xml:space="preserve">Titlul I </w:t>
      </w:r>
      <w:proofErr w:type="spellStart"/>
      <w:r w:rsidRPr="001D666A">
        <w:rPr>
          <w:rFonts w:eastAsia="Calibri"/>
          <w:lang w:val="ro-RO"/>
        </w:rPr>
        <w:t>şi</w:t>
      </w:r>
      <w:proofErr w:type="spellEnd"/>
      <w:r w:rsidRPr="001D666A">
        <w:rPr>
          <w:rFonts w:eastAsia="Calibri"/>
          <w:lang w:val="ro-RO"/>
        </w:rPr>
        <w:t xml:space="preserve"> II ale </w:t>
      </w:r>
      <w:proofErr w:type="spellStart"/>
      <w:r w:rsidRPr="001D666A">
        <w:rPr>
          <w:rFonts w:eastAsia="Calibri"/>
          <w:lang w:val="ro-RO"/>
        </w:rPr>
        <w:t>părţii</w:t>
      </w:r>
      <w:proofErr w:type="spellEnd"/>
      <w:r w:rsidRPr="001D666A">
        <w:rPr>
          <w:rFonts w:eastAsia="Calibri"/>
          <w:lang w:val="ro-RO"/>
        </w:rPr>
        <w:t xml:space="preserve"> a VI -a din </w:t>
      </w:r>
      <w:proofErr w:type="spellStart"/>
      <w:r w:rsidRPr="001D666A">
        <w:rPr>
          <w:rFonts w:eastAsia="Calibri"/>
          <w:lang w:val="ro-RO"/>
        </w:rPr>
        <w:t>Ordonanţa</w:t>
      </w:r>
      <w:proofErr w:type="spellEnd"/>
      <w:r w:rsidRPr="001D666A">
        <w:rPr>
          <w:rFonts w:eastAsia="Calibri"/>
          <w:lang w:val="ro-RO"/>
        </w:rPr>
        <w:t xml:space="preserve"> de </w:t>
      </w:r>
      <w:proofErr w:type="spellStart"/>
      <w:r w:rsidRPr="001D666A">
        <w:rPr>
          <w:rFonts w:eastAsia="Calibri"/>
          <w:lang w:val="ro-RO"/>
        </w:rPr>
        <w:t>urgenţă</w:t>
      </w:r>
      <w:proofErr w:type="spellEnd"/>
      <w:r w:rsidRPr="001D666A">
        <w:rPr>
          <w:rFonts w:eastAsia="Calibri"/>
          <w:lang w:val="ro-RO"/>
        </w:rPr>
        <w:t xml:space="preserve"> a Guvernului nr. 57/2019, cu modificările </w:t>
      </w:r>
      <w:proofErr w:type="spellStart"/>
      <w:r w:rsidRPr="001D666A">
        <w:rPr>
          <w:rFonts w:eastAsia="Calibri"/>
          <w:lang w:val="ro-RO"/>
        </w:rPr>
        <w:t>şi</w:t>
      </w:r>
      <w:proofErr w:type="spellEnd"/>
      <w:r w:rsidRPr="001D666A">
        <w:rPr>
          <w:rFonts w:eastAsia="Calibri"/>
          <w:lang w:val="ro-RO"/>
        </w:rPr>
        <w:t xml:space="preserve"> completările ulterioare;</w:t>
      </w:r>
    </w:p>
    <w:p w:rsidR="001D666A" w:rsidRPr="001D666A" w:rsidRDefault="001D666A" w:rsidP="001D666A">
      <w:pPr>
        <w:numPr>
          <w:ilvl w:val="0"/>
          <w:numId w:val="15"/>
        </w:numPr>
        <w:spacing w:after="0" w:line="360" w:lineRule="auto"/>
        <w:rPr>
          <w:rFonts w:eastAsia="Calibri"/>
          <w:lang w:val="ro-RO"/>
        </w:rPr>
      </w:pPr>
      <w:proofErr w:type="spellStart"/>
      <w:r w:rsidRPr="001D666A">
        <w:rPr>
          <w:rFonts w:eastAsia="Calibri"/>
          <w:lang w:val="ro-RO"/>
        </w:rPr>
        <w:t>Ordonanţa</w:t>
      </w:r>
      <w:proofErr w:type="spellEnd"/>
      <w:r w:rsidRPr="001D666A">
        <w:rPr>
          <w:rFonts w:eastAsia="Calibri"/>
          <w:lang w:val="ro-RO"/>
        </w:rPr>
        <w:t xml:space="preserve"> Guvernului  nr. 137/2000 privind prevenirea </w:t>
      </w:r>
      <w:proofErr w:type="spellStart"/>
      <w:r w:rsidRPr="001D666A">
        <w:rPr>
          <w:rFonts w:eastAsia="Calibri"/>
          <w:lang w:val="ro-RO"/>
        </w:rPr>
        <w:t>şi</w:t>
      </w:r>
      <w:proofErr w:type="spellEnd"/>
      <w:r w:rsidRPr="001D666A">
        <w:rPr>
          <w:rFonts w:eastAsia="Calibri"/>
          <w:lang w:val="ro-RO"/>
        </w:rPr>
        <w:t xml:space="preserve"> </w:t>
      </w:r>
      <w:proofErr w:type="spellStart"/>
      <w:r w:rsidRPr="001D666A">
        <w:rPr>
          <w:rFonts w:eastAsia="Calibri"/>
          <w:lang w:val="ro-RO"/>
        </w:rPr>
        <w:t>sancţionarea</w:t>
      </w:r>
      <w:proofErr w:type="spellEnd"/>
      <w:r w:rsidRPr="001D666A">
        <w:rPr>
          <w:rFonts w:eastAsia="Calibri"/>
          <w:lang w:val="ro-RO"/>
        </w:rPr>
        <w:t xml:space="preserve"> tuturor formelor de discriminare, republicată, cu modificările </w:t>
      </w:r>
      <w:proofErr w:type="spellStart"/>
      <w:r w:rsidRPr="001D666A">
        <w:rPr>
          <w:rFonts w:eastAsia="Calibri"/>
          <w:lang w:val="ro-RO"/>
        </w:rPr>
        <w:t>şi</w:t>
      </w:r>
      <w:proofErr w:type="spellEnd"/>
      <w:r w:rsidRPr="001D666A">
        <w:rPr>
          <w:rFonts w:eastAsia="Calibri"/>
          <w:lang w:val="ro-RO"/>
        </w:rPr>
        <w:t xml:space="preserve"> completările ulterioare;</w:t>
      </w:r>
    </w:p>
    <w:p w:rsidR="001D666A" w:rsidRPr="001D666A" w:rsidRDefault="001D666A" w:rsidP="001D666A">
      <w:pPr>
        <w:numPr>
          <w:ilvl w:val="0"/>
          <w:numId w:val="15"/>
        </w:numPr>
        <w:spacing w:after="0" w:line="360" w:lineRule="auto"/>
        <w:rPr>
          <w:rFonts w:eastAsia="Calibri"/>
          <w:lang w:val="ro-RO"/>
        </w:rPr>
      </w:pPr>
      <w:r w:rsidRPr="001D666A">
        <w:rPr>
          <w:rFonts w:eastAsia="Calibri"/>
          <w:lang w:val="ro-RO"/>
        </w:rPr>
        <w:t xml:space="preserve">Legea nr. 202/2002 privind egalitatea de </w:t>
      </w:r>
      <w:proofErr w:type="spellStart"/>
      <w:r w:rsidRPr="001D666A">
        <w:rPr>
          <w:rFonts w:eastAsia="Calibri"/>
          <w:lang w:val="ro-RO"/>
        </w:rPr>
        <w:t>şanse</w:t>
      </w:r>
      <w:proofErr w:type="spellEnd"/>
      <w:r w:rsidRPr="001D666A">
        <w:rPr>
          <w:rFonts w:eastAsia="Calibri"/>
          <w:lang w:val="ro-RO"/>
        </w:rPr>
        <w:t xml:space="preserve"> </w:t>
      </w:r>
      <w:proofErr w:type="spellStart"/>
      <w:r w:rsidRPr="001D666A">
        <w:rPr>
          <w:rFonts w:eastAsia="Calibri"/>
          <w:lang w:val="ro-RO"/>
        </w:rPr>
        <w:t>şi</w:t>
      </w:r>
      <w:proofErr w:type="spellEnd"/>
      <w:r w:rsidRPr="001D666A">
        <w:rPr>
          <w:rFonts w:eastAsia="Calibri"/>
          <w:lang w:val="ro-RO"/>
        </w:rPr>
        <w:t xml:space="preserve"> de tratament între femei </w:t>
      </w:r>
      <w:proofErr w:type="spellStart"/>
      <w:r w:rsidRPr="001D666A">
        <w:rPr>
          <w:rFonts w:eastAsia="Calibri"/>
          <w:lang w:val="ro-RO"/>
        </w:rPr>
        <w:t>şi</w:t>
      </w:r>
      <w:proofErr w:type="spellEnd"/>
      <w:r w:rsidRPr="001D666A">
        <w:rPr>
          <w:rFonts w:eastAsia="Calibri"/>
          <w:lang w:val="ro-RO"/>
        </w:rPr>
        <w:t xml:space="preserve"> </w:t>
      </w:r>
      <w:proofErr w:type="spellStart"/>
      <w:r w:rsidRPr="001D666A">
        <w:rPr>
          <w:rFonts w:eastAsia="Calibri"/>
          <w:lang w:val="ro-RO"/>
        </w:rPr>
        <w:t>bărbaţi</w:t>
      </w:r>
      <w:proofErr w:type="spellEnd"/>
      <w:r w:rsidRPr="001D666A">
        <w:rPr>
          <w:rFonts w:eastAsia="Calibri"/>
          <w:lang w:val="ro-RO"/>
        </w:rPr>
        <w:t xml:space="preserve">, republicată, cu modificările </w:t>
      </w:r>
      <w:proofErr w:type="spellStart"/>
      <w:r w:rsidRPr="001D666A">
        <w:rPr>
          <w:rFonts w:eastAsia="Calibri"/>
          <w:lang w:val="ro-RO"/>
        </w:rPr>
        <w:t>şi</w:t>
      </w:r>
      <w:proofErr w:type="spellEnd"/>
      <w:r w:rsidRPr="001D666A">
        <w:rPr>
          <w:rFonts w:eastAsia="Calibri"/>
          <w:lang w:val="ro-RO"/>
        </w:rPr>
        <w:t xml:space="preserve"> completările ulterioare;</w:t>
      </w:r>
    </w:p>
    <w:bookmarkEnd w:id="0"/>
    <w:p w:rsidR="001D666A" w:rsidRPr="001D666A" w:rsidRDefault="001D666A" w:rsidP="001D666A">
      <w:pPr>
        <w:numPr>
          <w:ilvl w:val="0"/>
          <w:numId w:val="15"/>
        </w:numPr>
        <w:spacing w:after="0" w:line="360" w:lineRule="auto"/>
        <w:rPr>
          <w:rFonts w:eastAsia="Calibri"/>
          <w:lang w:val="ro-RO"/>
        </w:rPr>
      </w:pPr>
      <w:r w:rsidRPr="001D666A">
        <w:rPr>
          <w:rFonts w:eastAsia="Calibri"/>
          <w:lang w:val="ro-RO"/>
        </w:rPr>
        <w:t xml:space="preserve">Legea nr. 318/2015 pentru </w:t>
      </w:r>
      <w:proofErr w:type="spellStart"/>
      <w:r w:rsidRPr="001D666A">
        <w:rPr>
          <w:rFonts w:eastAsia="Calibri"/>
          <w:lang w:val="ro-RO"/>
        </w:rPr>
        <w:t>înfiinţarea</w:t>
      </w:r>
      <w:proofErr w:type="spellEnd"/>
      <w:r w:rsidRPr="001D666A">
        <w:rPr>
          <w:rFonts w:eastAsia="Calibri"/>
          <w:lang w:val="ro-RO"/>
        </w:rPr>
        <w:t xml:space="preserve">, organizarea </w:t>
      </w:r>
      <w:proofErr w:type="spellStart"/>
      <w:r w:rsidRPr="001D666A">
        <w:rPr>
          <w:rFonts w:eastAsia="Calibri"/>
          <w:lang w:val="ro-RO"/>
        </w:rPr>
        <w:t>şi</w:t>
      </w:r>
      <w:proofErr w:type="spellEnd"/>
      <w:r w:rsidRPr="001D666A">
        <w:rPr>
          <w:rFonts w:eastAsia="Calibri"/>
          <w:lang w:val="ro-RO"/>
        </w:rPr>
        <w:t xml:space="preserve"> </w:t>
      </w:r>
      <w:proofErr w:type="spellStart"/>
      <w:r w:rsidRPr="001D666A">
        <w:rPr>
          <w:rFonts w:eastAsia="Calibri"/>
          <w:lang w:val="ro-RO"/>
        </w:rPr>
        <w:t>funcţionarea</w:t>
      </w:r>
      <w:proofErr w:type="spellEnd"/>
      <w:r w:rsidRPr="001D666A">
        <w:rPr>
          <w:rFonts w:eastAsia="Calibri"/>
          <w:lang w:val="ro-RO"/>
        </w:rPr>
        <w:t xml:space="preserve"> </w:t>
      </w:r>
      <w:proofErr w:type="spellStart"/>
      <w:r w:rsidRPr="001D666A">
        <w:rPr>
          <w:rFonts w:eastAsia="Calibri"/>
          <w:lang w:val="ro-RO"/>
        </w:rPr>
        <w:t>Agenţiei</w:t>
      </w:r>
      <w:proofErr w:type="spellEnd"/>
      <w:r w:rsidRPr="001D666A">
        <w:rPr>
          <w:rFonts w:eastAsia="Calibri"/>
          <w:lang w:val="ro-RO"/>
        </w:rPr>
        <w:t xml:space="preserve"> </w:t>
      </w:r>
      <w:proofErr w:type="spellStart"/>
      <w:r w:rsidRPr="001D666A">
        <w:rPr>
          <w:rFonts w:eastAsia="Calibri"/>
          <w:lang w:val="ro-RO"/>
        </w:rPr>
        <w:t>Naţionale</w:t>
      </w:r>
      <w:proofErr w:type="spellEnd"/>
      <w:r w:rsidRPr="001D666A">
        <w:rPr>
          <w:rFonts w:eastAsia="Calibri"/>
          <w:lang w:val="ro-RO"/>
        </w:rPr>
        <w:t xml:space="preserve"> de Administrare a Bunurilor Indisponibilizate </w:t>
      </w:r>
      <w:proofErr w:type="spellStart"/>
      <w:r w:rsidRPr="001D666A">
        <w:rPr>
          <w:rFonts w:eastAsia="Calibri"/>
          <w:lang w:val="ro-RO"/>
        </w:rPr>
        <w:t>şi</w:t>
      </w:r>
      <w:proofErr w:type="spellEnd"/>
      <w:r w:rsidRPr="001D666A">
        <w:rPr>
          <w:rFonts w:eastAsia="Calibri"/>
          <w:lang w:val="ro-RO"/>
        </w:rPr>
        <w:t xml:space="preserve"> pentru modificarea </w:t>
      </w:r>
      <w:proofErr w:type="spellStart"/>
      <w:r w:rsidRPr="001D666A">
        <w:rPr>
          <w:rFonts w:eastAsia="Calibri"/>
          <w:lang w:val="ro-RO"/>
        </w:rPr>
        <w:t>şi</w:t>
      </w:r>
      <w:proofErr w:type="spellEnd"/>
      <w:r w:rsidRPr="001D666A">
        <w:rPr>
          <w:rFonts w:eastAsia="Calibri"/>
          <w:lang w:val="ro-RO"/>
        </w:rPr>
        <w:t xml:space="preserve"> completarea unor acte normative</w:t>
      </w:r>
      <w:r w:rsidR="006B0226">
        <w:rPr>
          <w:rFonts w:eastAsia="Calibri"/>
          <w:lang w:val="ro-RO"/>
        </w:rPr>
        <w:t xml:space="preserve">, cu modificările </w:t>
      </w:r>
      <w:proofErr w:type="spellStart"/>
      <w:r w:rsidR="006B0226">
        <w:rPr>
          <w:rFonts w:eastAsia="Calibri"/>
          <w:lang w:val="ro-RO"/>
        </w:rPr>
        <w:t>şi</w:t>
      </w:r>
      <w:proofErr w:type="spellEnd"/>
      <w:r w:rsidR="006B0226">
        <w:rPr>
          <w:rFonts w:eastAsia="Calibri"/>
          <w:lang w:val="ro-RO"/>
        </w:rPr>
        <w:t xml:space="preserve"> completările ulterioare</w:t>
      </w:r>
      <w:r w:rsidRPr="001D666A">
        <w:rPr>
          <w:rFonts w:eastAsia="Calibri"/>
          <w:lang w:val="ro-RO"/>
        </w:rPr>
        <w:t>;</w:t>
      </w:r>
    </w:p>
    <w:p w:rsidR="001D666A" w:rsidRPr="001D666A" w:rsidRDefault="001D666A" w:rsidP="001D666A">
      <w:pPr>
        <w:numPr>
          <w:ilvl w:val="0"/>
          <w:numId w:val="15"/>
        </w:numPr>
        <w:spacing w:after="0" w:line="360" w:lineRule="auto"/>
        <w:rPr>
          <w:rFonts w:eastAsia="Calibri"/>
          <w:lang w:val="ro-RO"/>
        </w:rPr>
      </w:pPr>
      <w:r w:rsidRPr="001D666A">
        <w:rPr>
          <w:rFonts w:eastAsia="Calibri"/>
          <w:lang w:val="ro-RO"/>
        </w:rPr>
        <w:t xml:space="preserve">Hotărârea Guvernului nr. 358/2016 privind aprobarea Regulamentului de organizare </w:t>
      </w:r>
      <w:proofErr w:type="spellStart"/>
      <w:r w:rsidRPr="001D666A">
        <w:rPr>
          <w:rFonts w:eastAsia="Calibri"/>
          <w:lang w:val="ro-RO"/>
        </w:rPr>
        <w:t>şi</w:t>
      </w:r>
      <w:proofErr w:type="spellEnd"/>
      <w:r w:rsidRPr="001D666A">
        <w:rPr>
          <w:rFonts w:eastAsia="Calibri"/>
          <w:lang w:val="ro-RO"/>
        </w:rPr>
        <w:t xml:space="preserve"> </w:t>
      </w:r>
      <w:proofErr w:type="spellStart"/>
      <w:r w:rsidRPr="001D666A">
        <w:rPr>
          <w:rFonts w:eastAsia="Calibri"/>
          <w:lang w:val="ro-RO"/>
        </w:rPr>
        <w:t>funcţionare</w:t>
      </w:r>
      <w:proofErr w:type="spellEnd"/>
      <w:r w:rsidRPr="001D666A">
        <w:rPr>
          <w:rFonts w:eastAsia="Calibri"/>
          <w:lang w:val="ro-RO"/>
        </w:rPr>
        <w:t xml:space="preserve"> a </w:t>
      </w:r>
      <w:proofErr w:type="spellStart"/>
      <w:r w:rsidRPr="001D666A">
        <w:rPr>
          <w:rFonts w:eastAsia="Calibri"/>
          <w:lang w:val="ro-RO"/>
        </w:rPr>
        <w:t>Agenţiei</w:t>
      </w:r>
      <w:proofErr w:type="spellEnd"/>
      <w:r w:rsidRPr="001D666A">
        <w:rPr>
          <w:rFonts w:eastAsia="Calibri"/>
          <w:lang w:val="ro-RO"/>
        </w:rPr>
        <w:t xml:space="preserve"> </w:t>
      </w:r>
      <w:proofErr w:type="spellStart"/>
      <w:r w:rsidRPr="001D666A">
        <w:rPr>
          <w:rFonts w:eastAsia="Calibri"/>
          <w:lang w:val="ro-RO"/>
        </w:rPr>
        <w:t>Naţionale</w:t>
      </w:r>
      <w:proofErr w:type="spellEnd"/>
      <w:r w:rsidRPr="001D666A">
        <w:rPr>
          <w:rFonts w:eastAsia="Calibri"/>
          <w:lang w:val="ro-RO"/>
        </w:rPr>
        <w:t xml:space="preserve"> de Administrare a Bunurilor Indisponibilizate, a organigramei, a parcului auto </w:t>
      </w:r>
      <w:proofErr w:type="spellStart"/>
      <w:r w:rsidRPr="001D666A">
        <w:rPr>
          <w:rFonts w:eastAsia="Calibri"/>
          <w:lang w:val="ro-RO"/>
        </w:rPr>
        <w:t>şi</w:t>
      </w:r>
      <w:proofErr w:type="spellEnd"/>
      <w:r w:rsidRPr="001D666A">
        <w:rPr>
          <w:rFonts w:eastAsia="Calibri"/>
          <w:lang w:val="ro-RO"/>
        </w:rPr>
        <w:t xml:space="preserve"> a modului de utilizare a acestuia, precum </w:t>
      </w:r>
      <w:proofErr w:type="spellStart"/>
      <w:r w:rsidRPr="001D666A">
        <w:rPr>
          <w:rFonts w:eastAsia="Calibri"/>
          <w:lang w:val="ro-RO"/>
        </w:rPr>
        <w:t>şi</w:t>
      </w:r>
      <w:proofErr w:type="spellEnd"/>
      <w:r w:rsidRPr="001D666A">
        <w:rPr>
          <w:rFonts w:eastAsia="Calibri"/>
          <w:lang w:val="ro-RO"/>
        </w:rPr>
        <w:t xml:space="preserve"> pentru completarea Hotărârii Guvernului nr. 652/2009 privind organizarea </w:t>
      </w:r>
      <w:proofErr w:type="spellStart"/>
      <w:r w:rsidRPr="001D666A">
        <w:rPr>
          <w:rFonts w:eastAsia="Calibri"/>
          <w:lang w:val="ro-RO"/>
        </w:rPr>
        <w:t>şi</w:t>
      </w:r>
      <w:proofErr w:type="spellEnd"/>
      <w:r w:rsidRPr="001D666A">
        <w:rPr>
          <w:rFonts w:eastAsia="Calibri"/>
          <w:lang w:val="ro-RO"/>
        </w:rPr>
        <w:t xml:space="preserve"> funcționarea Ministerului Justiției, cu completările ulterioare;</w:t>
      </w:r>
    </w:p>
    <w:p w:rsidR="001D666A" w:rsidRPr="001D666A" w:rsidRDefault="001D666A" w:rsidP="001D666A">
      <w:pPr>
        <w:numPr>
          <w:ilvl w:val="0"/>
          <w:numId w:val="15"/>
        </w:numPr>
        <w:spacing w:after="0" w:line="360" w:lineRule="auto"/>
        <w:rPr>
          <w:rFonts w:eastAsia="Calibri"/>
          <w:lang w:val="ro-RO"/>
        </w:rPr>
      </w:pPr>
      <w:r w:rsidRPr="001D666A">
        <w:rPr>
          <w:rFonts w:eastAsia="Calibri"/>
          <w:lang w:val="ro-RO"/>
        </w:rPr>
        <w:t xml:space="preserve">Legea nr. 500/2002 privind </w:t>
      </w:r>
      <w:proofErr w:type="spellStart"/>
      <w:r w:rsidRPr="001D666A">
        <w:rPr>
          <w:rFonts w:eastAsia="Calibri"/>
          <w:lang w:val="ro-RO"/>
        </w:rPr>
        <w:t>finanţele</w:t>
      </w:r>
      <w:proofErr w:type="spellEnd"/>
      <w:r w:rsidRPr="001D666A">
        <w:rPr>
          <w:rFonts w:eastAsia="Calibri"/>
          <w:lang w:val="ro-RO"/>
        </w:rPr>
        <w:t xml:space="preserve"> publice, cu modificările </w:t>
      </w:r>
      <w:proofErr w:type="spellStart"/>
      <w:r w:rsidRPr="001D666A">
        <w:rPr>
          <w:rFonts w:eastAsia="Calibri"/>
          <w:lang w:val="ro-RO"/>
        </w:rPr>
        <w:t>şi</w:t>
      </w:r>
      <w:proofErr w:type="spellEnd"/>
      <w:r w:rsidRPr="001D666A">
        <w:rPr>
          <w:rFonts w:eastAsia="Calibri"/>
          <w:lang w:val="ro-RO"/>
        </w:rPr>
        <w:t xml:space="preserve"> completările ulterioare;</w:t>
      </w:r>
    </w:p>
    <w:p w:rsidR="001D666A" w:rsidRPr="001D666A" w:rsidRDefault="001D666A" w:rsidP="001D666A">
      <w:pPr>
        <w:numPr>
          <w:ilvl w:val="0"/>
          <w:numId w:val="15"/>
        </w:numPr>
        <w:spacing w:after="0" w:line="360" w:lineRule="auto"/>
        <w:jc w:val="left"/>
        <w:rPr>
          <w:rFonts w:eastAsia="Calibri"/>
          <w:lang w:val="ro-RO"/>
        </w:rPr>
      </w:pPr>
      <w:r w:rsidRPr="001D666A">
        <w:rPr>
          <w:rFonts w:eastAsia="Calibri"/>
          <w:lang w:val="ro-RO"/>
        </w:rPr>
        <w:t xml:space="preserve">Legea nr.227/2015 privind Codul Fiscal cu modificările </w:t>
      </w:r>
      <w:proofErr w:type="spellStart"/>
      <w:r w:rsidRPr="001D666A">
        <w:rPr>
          <w:rFonts w:eastAsia="Calibri"/>
          <w:lang w:val="ro-RO"/>
        </w:rPr>
        <w:t>şi</w:t>
      </w:r>
      <w:proofErr w:type="spellEnd"/>
      <w:r w:rsidRPr="001D666A">
        <w:rPr>
          <w:rFonts w:eastAsia="Calibri"/>
          <w:lang w:val="ro-RO"/>
        </w:rPr>
        <w:t xml:space="preserve"> completările ulterioare;</w:t>
      </w:r>
    </w:p>
    <w:p w:rsidR="001D666A" w:rsidRPr="001D666A" w:rsidRDefault="001D666A" w:rsidP="001D666A">
      <w:pPr>
        <w:numPr>
          <w:ilvl w:val="0"/>
          <w:numId w:val="15"/>
        </w:numPr>
        <w:spacing w:after="0" w:line="360" w:lineRule="auto"/>
        <w:jc w:val="left"/>
        <w:rPr>
          <w:rFonts w:eastAsia="Calibri"/>
          <w:lang w:val="ro-RO"/>
        </w:rPr>
      </w:pPr>
      <w:r w:rsidRPr="001D666A">
        <w:rPr>
          <w:rFonts w:eastAsia="Calibri"/>
          <w:lang w:val="ro-RO"/>
        </w:rPr>
        <w:t>Hotărârea Guvernului nr.1/2016 pentru aprobarea Normelor metodologice de aplicare a Legii nr. 227/2015 privind Codul fiscal;</w:t>
      </w:r>
    </w:p>
    <w:p w:rsidR="001D666A" w:rsidRPr="001D666A" w:rsidRDefault="001D666A" w:rsidP="001D666A">
      <w:pPr>
        <w:numPr>
          <w:ilvl w:val="0"/>
          <w:numId w:val="15"/>
        </w:numPr>
        <w:spacing w:after="0" w:line="360" w:lineRule="auto"/>
        <w:rPr>
          <w:rFonts w:eastAsia="Calibri"/>
          <w:lang w:val="ro-RO"/>
        </w:rPr>
      </w:pPr>
      <w:r w:rsidRPr="001D666A">
        <w:rPr>
          <w:rFonts w:eastAsia="Calibri"/>
          <w:lang w:val="ro-RO"/>
        </w:rPr>
        <w:t xml:space="preserve">Legea nr. 82/1991 - Legea </w:t>
      </w:r>
      <w:proofErr w:type="spellStart"/>
      <w:r w:rsidRPr="001D666A">
        <w:rPr>
          <w:rFonts w:eastAsia="Calibri"/>
          <w:lang w:val="ro-RO"/>
        </w:rPr>
        <w:t>contabilităţii</w:t>
      </w:r>
      <w:proofErr w:type="spellEnd"/>
      <w:r w:rsidRPr="001D666A">
        <w:rPr>
          <w:rFonts w:eastAsia="Calibri"/>
          <w:lang w:val="ro-RO"/>
        </w:rPr>
        <w:t xml:space="preserve">, republicată, cu modificările </w:t>
      </w:r>
      <w:proofErr w:type="spellStart"/>
      <w:r w:rsidRPr="001D666A">
        <w:rPr>
          <w:rFonts w:eastAsia="Calibri"/>
          <w:lang w:val="ro-RO"/>
        </w:rPr>
        <w:t>şi</w:t>
      </w:r>
      <w:proofErr w:type="spellEnd"/>
      <w:r w:rsidRPr="001D666A">
        <w:rPr>
          <w:rFonts w:eastAsia="Calibri"/>
          <w:lang w:val="ro-RO"/>
        </w:rPr>
        <w:t xml:space="preserve"> completările ulterioare;</w:t>
      </w:r>
    </w:p>
    <w:p w:rsidR="001D666A" w:rsidRPr="001D666A" w:rsidRDefault="001D666A" w:rsidP="001D666A">
      <w:pPr>
        <w:numPr>
          <w:ilvl w:val="0"/>
          <w:numId w:val="15"/>
        </w:numPr>
        <w:spacing w:after="0" w:line="360" w:lineRule="auto"/>
        <w:rPr>
          <w:rFonts w:eastAsia="Calibri"/>
          <w:lang w:val="ro-RO"/>
        </w:rPr>
      </w:pPr>
      <w:r w:rsidRPr="001D666A">
        <w:rPr>
          <w:rFonts w:eastAsia="Calibri"/>
          <w:lang w:val="ro-RO"/>
        </w:rPr>
        <w:t xml:space="preserve">Legea - cadru nr. 153/2017 privind salarizarea personalului plătit din fonduri publice, republicată, cu modificările </w:t>
      </w:r>
      <w:proofErr w:type="spellStart"/>
      <w:r w:rsidRPr="001D666A">
        <w:rPr>
          <w:rFonts w:eastAsia="Calibri"/>
          <w:lang w:val="ro-RO"/>
        </w:rPr>
        <w:t>şi</w:t>
      </w:r>
      <w:proofErr w:type="spellEnd"/>
      <w:r w:rsidRPr="001D666A">
        <w:rPr>
          <w:rFonts w:eastAsia="Calibri"/>
          <w:lang w:val="ro-RO"/>
        </w:rPr>
        <w:t xml:space="preserve"> completările ulterioare;</w:t>
      </w:r>
    </w:p>
    <w:p w:rsidR="001D666A" w:rsidRPr="001D666A" w:rsidRDefault="001D666A" w:rsidP="001D666A">
      <w:pPr>
        <w:numPr>
          <w:ilvl w:val="0"/>
          <w:numId w:val="15"/>
        </w:numPr>
        <w:spacing w:after="0" w:line="360" w:lineRule="auto"/>
        <w:rPr>
          <w:rFonts w:eastAsia="Calibri"/>
          <w:lang w:val="ro-RO"/>
        </w:rPr>
      </w:pPr>
      <w:r w:rsidRPr="001D666A">
        <w:rPr>
          <w:rFonts w:eastAsia="Calibri"/>
          <w:lang w:val="ro-RO"/>
        </w:rPr>
        <w:lastRenderedPageBreak/>
        <w:t>Ordonanță de urgență nr. 114 din 28 decembrie 2018 privind instituirea unor măsuri în domeniul investițiilor publice și a unor măsuri fiscal-bugetare, modificarea și completarea unor acte normative și prorogarea unor termene;</w:t>
      </w:r>
    </w:p>
    <w:p w:rsidR="001D666A" w:rsidRPr="001D666A" w:rsidRDefault="001D666A" w:rsidP="001D666A">
      <w:pPr>
        <w:numPr>
          <w:ilvl w:val="0"/>
          <w:numId w:val="15"/>
        </w:numPr>
        <w:spacing w:after="0" w:line="360" w:lineRule="auto"/>
        <w:rPr>
          <w:rFonts w:eastAsia="Calibri"/>
          <w:lang w:val="ro-RO"/>
        </w:rPr>
      </w:pPr>
      <w:proofErr w:type="spellStart"/>
      <w:r w:rsidRPr="001D666A">
        <w:rPr>
          <w:rFonts w:eastAsia="Calibri"/>
          <w:lang w:val="ro-RO"/>
        </w:rPr>
        <w:t>Ordonan</w:t>
      </w:r>
      <w:r w:rsidRPr="001D666A">
        <w:rPr>
          <w:rFonts w:eastAsia="Calibri" w:hint="eastAsia"/>
          <w:lang w:val="ro-RO"/>
        </w:rPr>
        <w:t>ţă</w:t>
      </w:r>
      <w:proofErr w:type="spellEnd"/>
      <w:r w:rsidRPr="001D666A">
        <w:rPr>
          <w:rFonts w:eastAsia="Calibri"/>
          <w:lang w:val="ro-RO"/>
        </w:rPr>
        <w:t xml:space="preserve"> de </w:t>
      </w:r>
      <w:proofErr w:type="spellStart"/>
      <w:r w:rsidRPr="001D666A">
        <w:rPr>
          <w:rFonts w:eastAsia="Calibri"/>
          <w:lang w:val="ro-RO"/>
        </w:rPr>
        <w:t>Urgen</w:t>
      </w:r>
      <w:r w:rsidRPr="001D666A">
        <w:rPr>
          <w:rFonts w:eastAsia="Calibri" w:hint="eastAsia"/>
          <w:lang w:val="ro-RO"/>
        </w:rPr>
        <w:t>ţă</w:t>
      </w:r>
      <w:proofErr w:type="spellEnd"/>
      <w:r w:rsidRPr="001D666A">
        <w:rPr>
          <w:rFonts w:ascii="&amp;quot" w:eastAsia="Calibri" w:hAnsi="&amp;quot"/>
          <w:b/>
          <w:bCs/>
          <w:color w:val="000000"/>
          <w:sz w:val="20"/>
          <w:szCs w:val="20"/>
          <w:bdr w:val="none" w:sz="0" w:space="0" w:color="auto" w:frame="1"/>
        </w:rPr>
        <w:t xml:space="preserve"> </w:t>
      </w:r>
      <w:r w:rsidRPr="001D666A">
        <w:rPr>
          <w:rFonts w:eastAsia="Calibri"/>
          <w:lang w:val="ro-RO"/>
        </w:rPr>
        <w:t>Nr. 27/2006</w:t>
      </w:r>
      <w:r w:rsidRPr="001D666A">
        <w:rPr>
          <w:rFonts w:ascii="&amp;quot" w:eastAsia="Calibri" w:hAnsi="&amp;quot"/>
          <w:b/>
          <w:bCs/>
          <w:color w:val="000000"/>
          <w:sz w:val="20"/>
          <w:szCs w:val="20"/>
          <w:bdr w:val="none" w:sz="0" w:space="0" w:color="auto" w:frame="1"/>
        </w:rPr>
        <w:t xml:space="preserve"> </w:t>
      </w:r>
      <w:r w:rsidRPr="001D666A">
        <w:rPr>
          <w:rFonts w:eastAsia="Calibri"/>
          <w:lang w:val="ro-RO"/>
        </w:rPr>
        <w:t xml:space="preserve">privind salarizarea </w:t>
      </w:r>
      <w:proofErr w:type="spellStart"/>
      <w:r w:rsidRPr="001D666A">
        <w:rPr>
          <w:rFonts w:eastAsia="Calibri"/>
          <w:lang w:val="ro-RO"/>
        </w:rPr>
        <w:t>şi</w:t>
      </w:r>
      <w:proofErr w:type="spellEnd"/>
      <w:r w:rsidRPr="001D666A">
        <w:rPr>
          <w:rFonts w:eastAsia="Calibri"/>
          <w:lang w:val="ro-RO"/>
        </w:rPr>
        <w:t xml:space="preserve"> alte drepturi ale judecătorilor, procurorilor </w:t>
      </w:r>
      <w:proofErr w:type="spellStart"/>
      <w:r w:rsidRPr="001D666A">
        <w:rPr>
          <w:rFonts w:eastAsia="Calibri"/>
          <w:lang w:val="ro-RO"/>
        </w:rPr>
        <w:t>şi</w:t>
      </w:r>
      <w:proofErr w:type="spellEnd"/>
      <w:r w:rsidRPr="001D666A">
        <w:rPr>
          <w:rFonts w:eastAsia="Calibri"/>
          <w:lang w:val="ro-RO"/>
        </w:rPr>
        <w:t xml:space="preserve"> altor categorii de personal din sistemul </w:t>
      </w:r>
      <w:proofErr w:type="spellStart"/>
      <w:r w:rsidRPr="001D666A">
        <w:rPr>
          <w:rFonts w:eastAsia="Calibri"/>
          <w:lang w:val="ro-RO"/>
        </w:rPr>
        <w:t>justiţiei</w:t>
      </w:r>
      <w:proofErr w:type="spellEnd"/>
    </w:p>
    <w:p w:rsidR="001D666A" w:rsidRPr="001D666A" w:rsidRDefault="001D666A" w:rsidP="001D666A">
      <w:pPr>
        <w:numPr>
          <w:ilvl w:val="0"/>
          <w:numId w:val="15"/>
        </w:numPr>
        <w:spacing w:after="0" w:line="360" w:lineRule="auto"/>
        <w:rPr>
          <w:rFonts w:eastAsia="Calibri"/>
          <w:lang w:val="ro-RO"/>
        </w:rPr>
      </w:pPr>
      <w:r w:rsidRPr="001D666A">
        <w:rPr>
          <w:rFonts w:eastAsia="Calibri"/>
          <w:lang w:val="ro-RO"/>
        </w:rPr>
        <w:t xml:space="preserve">Legea Nr. 303/2004 privind statutul judecătorilor </w:t>
      </w:r>
      <w:proofErr w:type="spellStart"/>
      <w:r w:rsidRPr="001D666A">
        <w:rPr>
          <w:rFonts w:eastAsia="Calibri"/>
          <w:lang w:val="ro-RO"/>
        </w:rPr>
        <w:t>şi</w:t>
      </w:r>
      <w:proofErr w:type="spellEnd"/>
      <w:r w:rsidRPr="001D666A">
        <w:rPr>
          <w:rFonts w:eastAsia="Calibri"/>
          <w:lang w:val="ro-RO"/>
        </w:rPr>
        <w:t xml:space="preserve"> procurorilor, republicată, cu modificările </w:t>
      </w:r>
      <w:proofErr w:type="spellStart"/>
      <w:r w:rsidRPr="001D666A">
        <w:rPr>
          <w:rFonts w:eastAsia="Calibri"/>
          <w:lang w:val="ro-RO"/>
        </w:rPr>
        <w:t>şi</w:t>
      </w:r>
      <w:proofErr w:type="spellEnd"/>
      <w:r w:rsidRPr="001D666A">
        <w:rPr>
          <w:rFonts w:eastAsia="Calibri"/>
          <w:lang w:val="ro-RO"/>
        </w:rPr>
        <w:t xml:space="preserve"> completările ulterioare;</w:t>
      </w:r>
    </w:p>
    <w:p w:rsidR="001D666A" w:rsidRPr="001D666A" w:rsidRDefault="001D666A" w:rsidP="001D666A">
      <w:pPr>
        <w:numPr>
          <w:ilvl w:val="0"/>
          <w:numId w:val="15"/>
        </w:numPr>
        <w:spacing w:after="0" w:line="360" w:lineRule="auto"/>
        <w:rPr>
          <w:rFonts w:eastAsia="Calibri"/>
          <w:lang w:val="ro-RO"/>
        </w:rPr>
      </w:pPr>
      <w:bookmarkStart w:id="1" w:name="_Hlk77839908"/>
      <w:r w:rsidRPr="001D666A">
        <w:rPr>
          <w:rFonts w:eastAsia="Calibri"/>
          <w:lang w:val="ro-RO"/>
        </w:rPr>
        <w:t>Hotărârea Guvernului nr.714/2018 privind drepturile și obligațiile personalului autorităților și instituțiilor publice pe perioada delegării și detașării în altă localitate, precum și în cazul deplasării în interesul serviciului;</w:t>
      </w:r>
    </w:p>
    <w:p w:rsidR="001D666A" w:rsidRPr="001D666A" w:rsidRDefault="001D666A" w:rsidP="001D666A">
      <w:pPr>
        <w:numPr>
          <w:ilvl w:val="0"/>
          <w:numId w:val="15"/>
        </w:numPr>
        <w:spacing w:after="0" w:line="360" w:lineRule="auto"/>
        <w:rPr>
          <w:rFonts w:eastAsia="Calibri"/>
          <w:lang w:val="ro-RO"/>
        </w:rPr>
      </w:pPr>
      <w:r w:rsidRPr="001D666A">
        <w:rPr>
          <w:rFonts w:eastAsia="Calibri"/>
          <w:lang w:val="ro-RO"/>
        </w:rPr>
        <w:t xml:space="preserve">Hotărârea Guvernului nr.518/1995 privind unele drepturi </w:t>
      </w:r>
      <w:proofErr w:type="spellStart"/>
      <w:r w:rsidRPr="001D666A">
        <w:rPr>
          <w:rFonts w:eastAsia="Calibri"/>
          <w:lang w:val="ro-RO"/>
        </w:rPr>
        <w:t>şi</w:t>
      </w:r>
      <w:proofErr w:type="spellEnd"/>
      <w:r w:rsidRPr="001D666A">
        <w:rPr>
          <w:rFonts w:eastAsia="Calibri"/>
          <w:lang w:val="ro-RO"/>
        </w:rPr>
        <w:t xml:space="preserve"> </w:t>
      </w:r>
      <w:proofErr w:type="spellStart"/>
      <w:r w:rsidRPr="001D666A">
        <w:rPr>
          <w:rFonts w:eastAsia="Calibri"/>
          <w:lang w:val="ro-RO"/>
        </w:rPr>
        <w:t>obligaţii</w:t>
      </w:r>
      <w:proofErr w:type="spellEnd"/>
      <w:r w:rsidRPr="001D666A">
        <w:rPr>
          <w:rFonts w:eastAsia="Calibri"/>
          <w:lang w:val="ro-RO"/>
        </w:rPr>
        <w:t xml:space="preserve"> ale personalului roman trimis în străinătate pentru îndeplinirea unor misiuni cu caracter temporar, cu modificările </w:t>
      </w:r>
      <w:proofErr w:type="spellStart"/>
      <w:r w:rsidRPr="001D666A">
        <w:rPr>
          <w:rFonts w:eastAsia="Calibri"/>
          <w:lang w:val="ro-RO"/>
        </w:rPr>
        <w:t>şi</w:t>
      </w:r>
      <w:proofErr w:type="spellEnd"/>
      <w:r w:rsidRPr="001D666A">
        <w:rPr>
          <w:rFonts w:eastAsia="Calibri"/>
          <w:lang w:val="ro-RO"/>
        </w:rPr>
        <w:t xml:space="preserve"> completările ulterioare</w:t>
      </w:r>
      <w:bookmarkEnd w:id="1"/>
      <w:r w:rsidRPr="001D666A">
        <w:rPr>
          <w:rFonts w:eastAsia="Calibri"/>
          <w:lang w:val="ro-RO"/>
        </w:rPr>
        <w:t>;</w:t>
      </w:r>
    </w:p>
    <w:p w:rsidR="001D666A" w:rsidRPr="001D666A" w:rsidRDefault="001D666A" w:rsidP="001D666A">
      <w:pPr>
        <w:numPr>
          <w:ilvl w:val="0"/>
          <w:numId w:val="15"/>
        </w:numPr>
        <w:spacing w:after="0" w:line="360" w:lineRule="auto"/>
        <w:rPr>
          <w:rFonts w:eastAsia="Calibri"/>
          <w:lang w:val="ro-RO"/>
        </w:rPr>
      </w:pPr>
      <w:r w:rsidRPr="001D666A">
        <w:rPr>
          <w:rFonts w:eastAsia="Calibri"/>
          <w:lang w:val="ro-RO"/>
        </w:rPr>
        <w:t xml:space="preserve">Ordinul ministrului </w:t>
      </w:r>
      <w:proofErr w:type="spellStart"/>
      <w:r w:rsidRPr="001D666A">
        <w:rPr>
          <w:rFonts w:eastAsia="Calibri"/>
          <w:lang w:val="ro-RO"/>
        </w:rPr>
        <w:t>finanţelor</w:t>
      </w:r>
      <w:proofErr w:type="spellEnd"/>
      <w:r w:rsidRPr="001D666A">
        <w:rPr>
          <w:rFonts w:eastAsia="Calibri"/>
          <w:lang w:val="ro-RO"/>
        </w:rPr>
        <w:t xml:space="preserve"> publice nr.1792/2002 pentru aprobarea Normelor metodologice privind angajarea, lichidarea, </w:t>
      </w:r>
      <w:proofErr w:type="spellStart"/>
      <w:r w:rsidRPr="001D666A">
        <w:rPr>
          <w:rFonts w:eastAsia="Calibri"/>
          <w:lang w:val="ro-RO"/>
        </w:rPr>
        <w:t>ordonanţarea</w:t>
      </w:r>
      <w:proofErr w:type="spellEnd"/>
      <w:r w:rsidRPr="001D666A">
        <w:rPr>
          <w:rFonts w:eastAsia="Calibri"/>
          <w:lang w:val="ro-RO"/>
        </w:rPr>
        <w:t xml:space="preserve"> </w:t>
      </w:r>
      <w:proofErr w:type="spellStart"/>
      <w:r w:rsidRPr="001D666A">
        <w:rPr>
          <w:rFonts w:eastAsia="Calibri"/>
          <w:lang w:val="ro-RO"/>
        </w:rPr>
        <w:t>şi</w:t>
      </w:r>
      <w:proofErr w:type="spellEnd"/>
      <w:r w:rsidRPr="001D666A">
        <w:rPr>
          <w:rFonts w:eastAsia="Calibri"/>
          <w:lang w:val="ro-RO"/>
        </w:rPr>
        <w:t xml:space="preserve"> plata cheltuielilor </w:t>
      </w:r>
      <w:proofErr w:type="spellStart"/>
      <w:r w:rsidRPr="001D666A">
        <w:rPr>
          <w:rFonts w:eastAsia="Calibri"/>
          <w:lang w:val="ro-RO"/>
        </w:rPr>
        <w:t>instituţiilor</w:t>
      </w:r>
      <w:proofErr w:type="spellEnd"/>
      <w:r w:rsidRPr="001D666A">
        <w:rPr>
          <w:rFonts w:eastAsia="Calibri"/>
          <w:lang w:val="ro-RO"/>
        </w:rPr>
        <w:t xml:space="preserve"> publice, precum </w:t>
      </w:r>
      <w:proofErr w:type="spellStart"/>
      <w:r w:rsidRPr="001D666A">
        <w:rPr>
          <w:rFonts w:eastAsia="Calibri"/>
          <w:lang w:val="ro-RO"/>
        </w:rPr>
        <w:t>şi</w:t>
      </w:r>
      <w:proofErr w:type="spellEnd"/>
      <w:r w:rsidRPr="001D666A">
        <w:rPr>
          <w:rFonts w:eastAsia="Calibri"/>
          <w:lang w:val="ro-RO"/>
        </w:rPr>
        <w:t xml:space="preserve"> organizarea, </w:t>
      </w:r>
      <w:proofErr w:type="spellStart"/>
      <w:r w:rsidRPr="001D666A">
        <w:rPr>
          <w:rFonts w:eastAsia="Calibri"/>
          <w:lang w:val="ro-RO"/>
        </w:rPr>
        <w:t>evidenţa</w:t>
      </w:r>
      <w:proofErr w:type="spellEnd"/>
      <w:r w:rsidRPr="001D666A">
        <w:rPr>
          <w:rFonts w:eastAsia="Calibri"/>
          <w:lang w:val="ro-RO"/>
        </w:rPr>
        <w:t xml:space="preserve"> </w:t>
      </w:r>
      <w:proofErr w:type="spellStart"/>
      <w:r w:rsidRPr="001D666A">
        <w:rPr>
          <w:rFonts w:eastAsia="Calibri"/>
          <w:lang w:val="ro-RO"/>
        </w:rPr>
        <w:t>şi</w:t>
      </w:r>
      <w:proofErr w:type="spellEnd"/>
      <w:r w:rsidRPr="001D666A">
        <w:rPr>
          <w:rFonts w:eastAsia="Calibri"/>
          <w:lang w:val="ro-RO"/>
        </w:rPr>
        <w:t xml:space="preserve"> raportarea angajamentelor bugetare </w:t>
      </w:r>
      <w:proofErr w:type="spellStart"/>
      <w:r w:rsidRPr="001D666A">
        <w:rPr>
          <w:rFonts w:eastAsia="Calibri"/>
          <w:lang w:val="ro-RO"/>
        </w:rPr>
        <w:t>şi</w:t>
      </w:r>
      <w:proofErr w:type="spellEnd"/>
      <w:r w:rsidRPr="001D666A">
        <w:rPr>
          <w:rFonts w:eastAsia="Calibri"/>
          <w:lang w:val="ro-RO"/>
        </w:rPr>
        <w:t xml:space="preserve"> legale, cu modificările </w:t>
      </w:r>
      <w:proofErr w:type="spellStart"/>
      <w:r w:rsidRPr="001D666A">
        <w:rPr>
          <w:rFonts w:eastAsia="Calibri"/>
          <w:lang w:val="ro-RO"/>
        </w:rPr>
        <w:t>şi</w:t>
      </w:r>
      <w:proofErr w:type="spellEnd"/>
      <w:r w:rsidRPr="001D666A">
        <w:rPr>
          <w:rFonts w:eastAsia="Calibri"/>
          <w:lang w:val="ro-RO"/>
        </w:rPr>
        <w:t xml:space="preserve"> completările ulterioare;</w:t>
      </w:r>
    </w:p>
    <w:p w:rsidR="001D666A" w:rsidRPr="001D666A" w:rsidRDefault="001D666A" w:rsidP="001D666A">
      <w:pPr>
        <w:spacing w:after="0" w:line="360" w:lineRule="auto"/>
        <w:ind w:left="0"/>
        <w:rPr>
          <w:rFonts w:eastAsia="Calibri"/>
          <w:b/>
          <w:i/>
          <w:lang w:val="ro-RO"/>
        </w:rPr>
      </w:pPr>
      <w:r w:rsidRPr="001D666A">
        <w:rPr>
          <w:rFonts w:eastAsia="Calibri"/>
          <w:b/>
          <w:i/>
          <w:lang w:val="ro-RO"/>
        </w:rPr>
        <w:t xml:space="preserve">Tematică: </w:t>
      </w:r>
    </w:p>
    <w:p w:rsidR="001D666A" w:rsidRPr="001D666A" w:rsidRDefault="001D666A" w:rsidP="001D666A">
      <w:pPr>
        <w:numPr>
          <w:ilvl w:val="0"/>
          <w:numId w:val="17"/>
        </w:numPr>
        <w:spacing w:after="0" w:line="360" w:lineRule="auto"/>
        <w:jc w:val="left"/>
        <w:rPr>
          <w:rFonts w:eastAsia="Calibri"/>
          <w:lang w:val="ro-RO"/>
        </w:rPr>
      </w:pPr>
      <w:r w:rsidRPr="001D666A">
        <w:rPr>
          <w:rFonts w:eastAsia="Calibri"/>
          <w:lang w:val="ro-RO"/>
        </w:rPr>
        <w:t>Constituția României, republicată, în integralitate;</w:t>
      </w:r>
    </w:p>
    <w:p w:rsidR="001D666A" w:rsidRPr="001D666A" w:rsidRDefault="001D666A" w:rsidP="001D666A">
      <w:pPr>
        <w:numPr>
          <w:ilvl w:val="0"/>
          <w:numId w:val="17"/>
        </w:numPr>
        <w:spacing w:after="0" w:line="360" w:lineRule="auto"/>
        <w:jc w:val="left"/>
        <w:rPr>
          <w:rFonts w:eastAsia="Calibri"/>
          <w:lang w:val="ro-RO"/>
        </w:rPr>
      </w:pPr>
      <w:r w:rsidRPr="001D666A">
        <w:rPr>
          <w:rFonts w:eastAsia="Calibri"/>
          <w:lang w:val="ro-RO"/>
        </w:rPr>
        <w:t xml:space="preserve">Titlul I </w:t>
      </w:r>
      <w:proofErr w:type="spellStart"/>
      <w:r w:rsidRPr="001D666A">
        <w:rPr>
          <w:rFonts w:eastAsia="Calibri"/>
          <w:lang w:val="ro-RO"/>
        </w:rPr>
        <w:t>şi</w:t>
      </w:r>
      <w:proofErr w:type="spellEnd"/>
      <w:r w:rsidRPr="001D666A">
        <w:rPr>
          <w:rFonts w:eastAsia="Calibri"/>
          <w:lang w:val="ro-RO"/>
        </w:rPr>
        <w:t xml:space="preserve"> II ale </w:t>
      </w:r>
      <w:proofErr w:type="spellStart"/>
      <w:r w:rsidRPr="001D666A">
        <w:rPr>
          <w:rFonts w:eastAsia="Calibri"/>
          <w:lang w:val="ro-RO"/>
        </w:rPr>
        <w:t>părţii</w:t>
      </w:r>
      <w:proofErr w:type="spellEnd"/>
      <w:r w:rsidRPr="001D666A">
        <w:rPr>
          <w:rFonts w:eastAsia="Calibri"/>
          <w:lang w:val="ro-RO"/>
        </w:rPr>
        <w:t xml:space="preserve"> a VI -a din Ordonanța de urgentă a Guvernului nr. 57/2019, cu modificările </w:t>
      </w:r>
      <w:proofErr w:type="spellStart"/>
      <w:r w:rsidRPr="001D666A">
        <w:rPr>
          <w:rFonts w:eastAsia="Calibri"/>
          <w:lang w:val="ro-RO"/>
        </w:rPr>
        <w:t>şi</w:t>
      </w:r>
      <w:proofErr w:type="spellEnd"/>
      <w:r w:rsidRPr="001D666A">
        <w:rPr>
          <w:rFonts w:eastAsia="Calibri"/>
          <w:lang w:val="ro-RO"/>
        </w:rPr>
        <w:t xml:space="preserve"> completările ulterioare</w:t>
      </w:r>
      <w:r w:rsidR="00C9497C">
        <w:rPr>
          <w:rFonts w:eastAsia="Calibri"/>
          <w:lang w:val="ro-RO"/>
        </w:rPr>
        <w:t>, în integralitate</w:t>
      </w:r>
      <w:bookmarkStart w:id="2" w:name="_GoBack"/>
      <w:bookmarkEnd w:id="2"/>
      <w:r w:rsidRPr="001D666A">
        <w:rPr>
          <w:rFonts w:eastAsia="Calibri"/>
          <w:lang w:val="ro-RO"/>
        </w:rPr>
        <w:t>;</w:t>
      </w:r>
    </w:p>
    <w:p w:rsidR="001D666A" w:rsidRPr="001D666A" w:rsidRDefault="001D666A" w:rsidP="001D666A">
      <w:pPr>
        <w:numPr>
          <w:ilvl w:val="0"/>
          <w:numId w:val="17"/>
        </w:numPr>
        <w:spacing w:after="0" w:line="360" w:lineRule="auto"/>
        <w:jc w:val="left"/>
        <w:rPr>
          <w:rFonts w:eastAsia="Calibri"/>
          <w:lang w:val="ro-RO"/>
        </w:rPr>
      </w:pPr>
      <w:r w:rsidRPr="001D666A">
        <w:rPr>
          <w:rFonts w:eastAsia="Calibri"/>
          <w:lang w:val="ro-RO"/>
        </w:rPr>
        <w:t xml:space="preserve">Ordonanța Guvernului  nr. 137/2000 privind prevenirea </w:t>
      </w:r>
      <w:proofErr w:type="spellStart"/>
      <w:r w:rsidRPr="001D666A">
        <w:rPr>
          <w:rFonts w:eastAsia="Calibri"/>
          <w:lang w:val="ro-RO"/>
        </w:rPr>
        <w:t>şi</w:t>
      </w:r>
      <w:proofErr w:type="spellEnd"/>
      <w:r w:rsidRPr="001D666A">
        <w:rPr>
          <w:rFonts w:eastAsia="Calibri"/>
          <w:lang w:val="ro-RO"/>
        </w:rPr>
        <w:t xml:space="preserve"> sancționarea tuturor formelor de discriminare, republicată, cu modificările </w:t>
      </w:r>
      <w:proofErr w:type="spellStart"/>
      <w:r w:rsidRPr="001D666A">
        <w:rPr>
          <w:rFonts w:eastAsia="Calibri"/>
          <w:lang w:val="ro-RO"/>
        </w:rPr>
        <w:t>şi</w:t>
      </w:r>
      <w:proofErr w:type="spellEnd"/>
      <w:r w:rsidRPr="001D666A">
        <w:rPr>
          <w:rFonts w:eastAsia="Calibri"/>
          <w:lang w:val="ro-RO"/>
        </w:rPr>
        <w:t xml:space="preserve"> completările ulterioare, în integralitate;</w:t>
      </w:r>
    </w:p>
    <w:p w:rsidR="001D666A" w:rsidRPr="001D666A" w:rsidRDefault="001D666A" w:rsidP="001D666A">
      <w:pPr>
        <w:numPr>
          <w:ilvl w:val="0"/>
          <w:numId w:val="17"/>
        </w:numPr>
        <w:spacing w:after="0" w:line="360" w:lineRule="auto"/>
        <w:jc w:val="left"/>
        <w:rPr>
          <w:rFonts w:eastAsia="Calibri"/>
          <w:lang w:val="ro-RO"/>
        </w:rPr>
      </w:pPr>
      <w:r w:rsidRPr="001D666A">
        <w:rPr>
          <w:rFonts w:eastAsia="Calibri"/>
          <w:lang w:val="ro-RO"/>
        </w:rPr>
        <w:t xml:space="preserve">Legea nr. 202/2002 privind egalitatea de șanse </w:t>
      </w:r>
      <w:proofErr w:type="spellStart"/>
      <w:r w:rsidRPr="001D666A">
        <w:rPr>
          <w:rFonts w:eastAsia="Calibri"/>
          <w:lang w:val="ro-RO"/>
        </w:rPr>
        <w:t>şi</w:t>
      </w:r>
      <w:proofErr w:type="spellEnd"/>
      <w:r w:rsidRPr="001D666A">
        <w:rPr>
          <w:rFonts w:eastAsia="Calibri"/>
          <w:lang w:val="ro-RO"/>
        </w:rPr>
        <w:t xml:space="preserve"> de tratament între femei </w:t>
      </w:r>
      <w:proofErr w:type="spellStart"/>
      <w:r w:rsidRPr="001D666A">
        <w:rPr>
          <w:rFonts w:eastAsia="Calibri"/>
          <w:lang w:val="ro-RO"/>
        </w:rPr>
        <w:t>şi</w:t>
      </w:r>
      <w:proofErr w:type="spellEnd"/>
      <w:r w:rsidRPr="001D666A">
        <w:rPr>
          <w:rFonts w:eastAsia="Calibri"/>
          <w:lang w:val="ro-RO"/>
        </w:rPr>
        <w:t xml:space="preserve"> bărbați, republicată, cu modificările </w:t>
      </w:r>
      <w:proofErr w:type="spellStart"/>
      <w:r w:rsidRPr="001D666A">
        <w:rPr>
          <w:rFonts w:eastAsia="Calibri"/>
          <w:lang w:val="ro-RO"/>
        </w:rPr>
        <w:t>şi</w:t>
      </w:r>
      <w:proofErr w:type="spellEnd"/>
      <w:r w:rsidRPr="001D666A">
        <w:rPr>
          <w:rFonts w:eastAsia="Calibri"/>
          <w:lang w:val="ro-RO"/>
        </w:rPr>
        <w:t xml:space="preserve"> completările ulterioare, în integralitate;</w:t>
      </w:r>
    </w:p>
    <w:p w:rsidR="001D666A" w:rsidRPr="001D666A" w:rsidRDefault="001D666A" w:rsidP="001D666A">
      <w:pPr>
        <w:numPr>
          <w:ilvl w:val="0"/>
          <w:numId w:val="17"/>
        </w:numPr>
        <w:spacing w:after="0" w:line="360" w:lineRule="auto"/>
        <w:jc w:val="left"/>
        <w:rPr>
          <w:rFonts w:eastAsia="Calibri"/>
          <w:lang w:val="ro-RO"/>
        </w:rPr>
      </w:pPr>
      <w:r w:rsidRPr="001D666A">
        <w:rPr>
          <w:rFonts w:eastAsia="Calibri"/>
          <w:lang w:val="ro-RO"/>
        </w:rPr>
        <w:t>Hotărârea Guvernului nr.1/2016 pentru aprobarea Normelor metodologice de aplicare a Legii nr. 227/2015 privind Codul fiscal;</w:t>
      </w:r>
    </w:p>
    <w:p w:rsidR="001D666A" w:rsidRPr="001D666A" w:rsidRDefault="001D666A" w:rsidP="001D666A">
      <w:pPr>
        <w:numPr>
          <w:ilvl w:val="0"/>
          <w:numId w:val="17"/>
        </w:numPr>
        <w:spacing w:after="0" w:line="360" w:lineRule="auto"/>
        <w:rPr>
          <w:rFonts w:eastAsia="Calibri"/>
          <w:lang w:val="ro-RO"/>
        </w:rPr>
      </w:pPr>
      <w:r w:rsidRPr="001D666A">
        <w:rPr>
          <w:rFonts w:eastAsia="Calibri"/>
          <w:lang w:val="ro-RO"/>
        </w:rPr>
        <w:t>Hotărârea Guvernului nr.714/2018 privind drepturile și obligațiile personalului autorităților și instituțiilor publice pe perioada delegării și detașării în altă localitate, precum și în cazul deplasării în interesul serviciului;</w:t>
      </w:r>
    </w:p>
    <w:p w:rsidR="001D666A" w:rsidRPr="001D666A" w:rsidRDefault="001D666A" w:rsidP="001D666A">
      <w:pPr>
        <w:numPr>
          <w:ilvl w:val="0"/>
          <w:numId w:val="17"/>
        </w:numPr>
        <w:spacing w:after="0" w:line="360" w:lineRule="auto"/>
        <w:rPr>
          <w:rFonts w:eastAsia="Calibri"/>
          <w:lang w:val="ro-RO"/>
        </w:rPr>
      </w:pPr>
      <w:r w:rsidRPr="001D666A">
        <w:rPr>
          <w:rFonts w:eastAsia="Calibri"/>
          <w:lang w:val="ro-RO"/>
        </w:rPr>
        <w:t xml:space="preserve">Hotărârea Guvernului nr.518/1995 privind unele drepturi </w:t>
      </w:r>
      <w:proofErr w:type="spellStart"/>
      <w:r w:rsidRPr="001D666A">
        <w:rPr>
          <w:rFonts w:eastAsia="Calibri"/>
          <w:lang w:val="ro-RO"/>
        </w:rPr>
        <w:t>şi</w:t>
      </w:r>
      <w:proofErr w:type="spellEnd"/>
      <w:r w:rsidRPr="001D666A">
        <w:rPr>
          <w:rFonts w:eastAsia="Calibri"/>
          <w:lang w:val="ro-RO"/>
        </w:rPr>
        <w:t xml:space="preserve"> obligații ale personalului roman trimis în străinătate pentru îndeplinirea unor misiuni cu caracter temporar, cu modificările </w:t>
      </w:r>
      <w:proofErr w:type="spellStart"/>
      <w:r w:rsidRPr="001D666A">
        <w:rPr>
          <w:rFonts w:eastAsia="Calibri"/>
          <w:lang w:val="ro-RO"/>
        </w:rPr>
        <w:t>şi</w:t>
      </w:r>
      <w:proofErr w:type="spellEnd"/>
      <w:r w:rsidRPr="001D666A">
        <w:rPr>
          <w:rFonts w:eastAsia="Calibri"/>
          <w:lang w:val="ro-RO"/>
        </w:rPr>
        <w:t xml:space="preserve"> completările ulterioare;</w:t>
      </w:r>
    </w:p>
    <w:p w:rsidR="001D666A" w:rsidRPr="001D666A" w:rsidRDefault="001D666A" w:rsidP="001D666A">
      <w:pPr>
        <w:numPr>
          <w:ilvl w:val="0"/>
          <w:numId w:val="16"/>
        </w:numPr>
        <w:spacing w:after="0" w:line="360" w:lineRule="auto"/>
        <w:rPr>
          <w:rFonts w:eastAsia="Calibri"/>
          <w:lang w:val="ro-RO"/>
        </w:rPr>
      </w:pPr>
      <w:r w:rsidRPr="001D666A">
        <w:rPr>
          <w:rFonts w:eastAsia="Calibri"/>
          <w:lang w:val="ro-RO"/>
        </w:rPr>
        <w:lastRenderedPageBreak/>
        <w:t xml:space="preserve">Organizarea </w:t>
      </w:r>
      <w:proofErr w:type="spellStart"/>
      <w:r w:rsidRPr="001D666A">
        <w:rPr>
          <w:rFonts w:eastAsia="Calibri"/>
          <w:lang w:val="ro-RO"/>
        </w:rPr>
        <w:t>şi</w:t>
      </w:r>
      <w:proofErr w:type="spellEnd"/>
      <w:r w:rsidRPr="001D666A">
        <w:rPr>
          <w:rFonts w:eastAsia="Calibri"/>
          <w:lang w:val="ro-RO"/>
        </w:rPr>
        <w:t xml:space="preserve"> </w:t>
      </w:r>
      <w:proofErr w:type="spellStart"/>
      <w:r w:rsidRPr="001D666A">
        <w:rPr>
          <w:rFonts w:eastAsia="Calibri"/>
          <w:lang w:val="ro-RO"/>
        </w:rPr>
        <w:t>funcţionarea</w:t>
      </w:r>
      <w:proofErr w:type="spellEnd"/>
      <w:r w:rsidRPr="001D666A">
        <w:rPr>
          <w:rFonts w:eastAsia="Calibri"/>
          <w:lang w:val="ro-RO"/>
        </w:rPr>
        <w:t xml:space="preserve"> ANABI. </w:t>
      </w:r>
      <w:proofErr w:type="spellStart"/>
      <w:r w:rsidRPr="001D666A">
        <w:rPr>
          <w:rFonts w:eastAsia="Calibri"/>
          <w:lang w:val="ro-RO"/>
        </w:rPr>
        <w:t>Atribuţiile</w:t>
      </w:r>
      <w:proofErr w:type="spellEnd"/>
      <w:r w:rsidRPr="001D666A">
        <w:rPr>
          <w:rFonts w:eastAsia="Calibri"/>
          <w:lang w:val="ro-RO"/>
        </w:rPr>
        <w:t xml:space="preserve"> ANABI (Legea nr. 318/2015, HG. nr. 358/2016);</w:t>
      </w:r>
    </w:p>
    <w:p w:rsidR="001D666A" w:rsidRPr="001D666A" w:rsidRDefault="001D666A" w:rsidP="001D666A">
      <w:pPr>
        <w:numPr>
          <w:ilvl w:val="0"/>
          <w:numId w:val="16"/>
        </w:numPr>
        <w:spacing w:after="0" w:line="360" w:lineRule="auto"/>
        <w:rPr>
          <w:rFonts w:eastAsia="Calibri"/>
          <w:lang w:val="ro-RO"/>
        </w:rPr>
      </w:pPr>
      <w:r w:rsidRPr="001D666A">
        <w:rPr>
          <w:rFonts w:eastAsia="Calibri"/>
          <w:lang w:val="ro-RO"/>
        </w:rPr>
        <w:t xml:space="preserve">Cadrul legal general privind </w:t>
      </w:r>
      <w:proofErr w:type="spellStart"/>
      <w:r w:rsidRPr="001D666A">
        <w:rPr>
          <w:rFonts w:eastAsia="Calibri"/>
          <w:lang w:val="ro-RO"/>
        </w:rPr>
        <w:t>finanţele</w:t>
      </w:r>
      <w:proofErr w:type="spellEnd"/>
      <w:r w:rsidRPr="001D666A">
        <w:rPr>
          <w:rFonts w:eastAsia="Calibri"/>
          <w:lang w:val="ro-RO"/>
        </w:rPr>
        <w:t xml:space="preserve"> publice: </w:t>
      </w:r>
      <w:proofErr w:type="spellStart"/>
      <w:r w:rsidRPr="001D666A">
        <w:rPr>
          <w:rFonts w:eastAsia="Calibri"/>
          <w:lang w:val="ro-RO"/>
        </w:rPr>
        <w:t>Dispoziţii</w:t>
      </w:r>
      <w:proofErr w:type="spellEnd"/>
      <w:r w:rsidRPr="001D666A">
        <w:rPr>
          <w:rFonts w:eastAsia="Calibri"/>
          <w:lang w:val="ro-RO"/>
        </w:rPr>
        <w:t xml:space="preserve"> generale. Principii si reguli bugetare (Legea nr. 500/2002);</w:t>
      </w:r>
    </w:p>
    <w:p w:rsidR="001D666A" w:rsidRPr="001D666A" w:rsidRDefault="001D666A" w:rsidP="001D666A">
      <w:pPr>
        <w:numPr>
          <w:ilvl w:val="0"/>
          <w:numId w:val="16"/>
        </w:numPr>
        <w:spacing w:after="0" w:line="360" w:lineRule="auto"/>
        <w:jc w:val="left"/>
        <w:rPr>
          <w:rFonts w:eastAsia="Calibri"/>
          <w:lang w:val="ro-RO"/>
        </w:rPr>
      </w:pPr>
      <w:r w:rsidRPr="001D666A">
        <w:rPr>
          <w:rFonts w:eastAsia="Calibri"/>
          <w:lang w:val="ro-RO"/>
        </w:rPr>
        <w:t xml:space="preserve">Impozitul pe salarii si asimilate salariilor, </w:t>
      </w:r>
      <w:proofErr w:type="spellStart"/>
      <w:r w:rsidRPr="001D666A">
        <w:rPr>
          <w:rFonts w:eastAsia="Calibri"/>
          <w:lang w:val="ro-RO"/>
        </w:rPr>
        <w:t>obligaţii</w:t>
      </w:r>
      <w:proofErr w:type="spellEnd"/>
      <w:r w:rsidRPr="001D666A">
        <w:rPr>
          <w:rFonts w:eastAsia="Calibri"/>
          <w:lang w:val="ro-RO"/>
        </w:rPr>
        <w:t xml:space="preserve"> declarative a plătitorilor de venituri cu </w:t>
      </w:r>
      <w:proofErr w:type="spellStart"/>
      <w:r w:rsidRPr="001D666A">
        <w:rPr>
          <w:rFonts w:eastAsia="Calibri"/>
          <w:lang w:val="ro-RO"/>
        </w:rPr>
        <w:t>reţinere</w:t>
      </w:r>
      <w:proofErr w:type="spellEnd"/>
      <w:r w:rsidRPr="001D666A">
        <w:rPr>
          <w:rFonts w:eastAsia="Calibri"/>
          <w:lang w:val="ro-RO"/>
        </w:rPr>
        <w:t xml:space="preserve"> la sursa (Legea nr.227/2015);</w:t>
      </w:r>
    </w:p>
    <w:p w:rsidR="001D666A" w:rsidRPr="001D666A" w:rsidRDefault="001D666A" w:rsidP="001D666A">
      <w:pPr>
        <w:numPr>
          <w:ilvl w:val="0"/>
          <w:numId w:val="16"/>
        </w:numPr>
        <w:spacing w:after="0" w:line="360" w:lineRule="auto"/>
        <w:jc w:val="left"/>
        <w:rPr>
          <w:rFonts w:eastAsia="Calibri"/>
          <w:lang w:val="ro-RO"/>
        </w:rPr>
      </w:pPr>
      <w:proofErr w:type="spellStart"/>
      <w:r w:rsidRPr="001D666A">
        <w:rPr>
          <w:rFonts w:eastAsia="Calibri"/>
          <w:lang w:val="ro-RO"/>
        </w:rPr>
        <w:t>Contribuţii</w:t>
      </w:r>
      <w:proofErr w:type="spellEnd"/>
      <w:r w:rsidRPr="001D666A">
        <w:rPr>
          <w:rFonts w:eastAsia="Calibri"/>
          <w:lang w:val="ro-RO"/>
        </w:rPr>
        <w:t xml:space="preserve"> sociale obligatorii (Legea nr.227/2015);</w:t>
      </w:r>
    </w:p>
    <w:p w:rsidR="001D666A" w:rsidRPr="001D666A" w:rsidRDefault="001D666A" w:rsidP="001D666A">
      <w:pPr>
        <w:numPr>
          <w:ilvl w:val="0"/>
          <w:numId w:val="16"/>
        </w:numPr>
        <w:spacing w:after="0" w:line="360" w:lineRule="auto"/>
        <w:jc w:val="left"/>
        <w:rPr>
          <w:rFonts w:eastAsia="Calibri"/>
          <w:lang w:val="ro-RO"/>
        </w:rPr>
      </w:pPr>
      <w:r w:rsidRPr="001D666A">
        <w:rPr>
          <w:rFonts w:eastAsia="Calibri"/>
          <w:lang w:val="ro-RO"/>
        </w:rPr>
        <w:t>Declarația 112 (Legea nr.227/2015);</w:t>
      </w:r>
    </w:p>
    <w:p w:rsidR="001D666A" w:rsidRPr="001D666A" w:rsidRDefault="001D666A" w:rsidP="001D666A">
      <w:pPr>
        <w:numPr>
          <w:ilvl w:val="0"/>
          <w:numId w:val="16"/>
        </w:numPr>
        <w:spacing w:after="0" w:line="360" w:lineRule="auto"/>
        <w:rPr>
          <w:rFonts w:eastAsia="Calibri"/>
          <w:lang w:val="ro-RO"/>
        </w:rPr>
      </w:pPr>
      <w:r w:rsidRPr="001D666A">
        <w:rPr>
          <w:rFonts w:eastAsia="Calibri"/>
          <w:lang w:val="ro-RO"/>
        </w:rPr>
        <w:t xml:space="preserve">Organizarea si conducerea </w:t>
      </w:r>
      <w:proofErr w:type="spellStart"/>
      <w:r w:rsidRPr="001D666A">
        <w:rPr>
          <w:rFonts w:eastAsia="Calibri"/>
          <w:lang w:val="ro-RO"/>
        </w:rPr>
        <w:t>contabilităţii</w:t>
      </w:r>
      <w:proofErr w:type="spellEnd"/>
      <w:r w:rsidRPr="001D666A">
        <w:rPr>
          <w:rFonts w:eastAsia="Calibri"/>
          <w:lang w:val="ro-RO"/>
        </w:rPr>
        <w:t xml:space="preserve"> (Legea nr. 82/1991);</w:t>
      </w:r>
    </w:p>
    <w:p w:rsidR="001D666A" w:rsidRPr="001D666A" w:rsidRDefault="001D666A" w:rsidP="001D666A">
      <w:pPr>
        <w:numPr>
          <w:ilvl w:val="0"/>
          <w:numId w:val="16"/>
        </w:numPr>
        <w:spacing w:after="0" w:line="360" w:lineRule="auto"/>
        <w:rPr>
          <w:rFonts w:eastAsia="Calibri"/>
          <w:lang w:val="ro-RO"/>
        </w:rPr>
      </w:pPr>
      <w:r w:rsidRPr="001D666A">
        <w:rPr>
          <w:rFonts w:eastAsia="Calibri"/>
          <w:lang w:val="ro-RO"/>
        </w:rPr>
        <w:t>Legea - cadru nr. 153/2017 privind salarizarea personalului plătit din fonduri publice (Dispoziții generale, Salarizare, Alte dispoziții, Dispoziții tranzitorii și finale);</w:t>
      </w:r>
    </w:p>
    <w:p w:rsidR="001D666A" w:rsidRPr="001D666A" w:rsidRDefault="001D666A" w:rsidP="001D666A">
      <w:pPr>
        <w:numPr>
          <w:ilvl w:val="0"/>
          <w:numId w:val="16"/>
        </w:numPr>
        <w:spacing w:after="0" w:line="360" w:lineRule="auto"/>
        <w:rPr>
          <w:rFonts w:eastAsia="Calibri"/>
          <w:lang w:val="ro-RO"/>
        </w:rPr>
      </w:pPr>
      <w:proofErr w:type="spellStart"/>
      <w:r w:rsidRPr="001D666A">
        <w:rPr>
          <w:rFonts w:eastAsia="Calibri"/>
          <w:lang w:val="ro-RO"/>
        </w:rPr>
        <w:t>Ordonan</w:t>
      </w:r>
      <w:r w:rsidRPr="001D666A">
        <w:rPr>
          <w:rFonts w:eastAsia="Calibri" w:hint="eastAsia"/>
          <w:lang w:val="ro-RO"/>
        </w:rPr>
        <w:t>ţă</w:t>
      </w:r>
      <w:proofErr w:type="spellEnd"/>
      <w:r w:rsidRPr="001D666A">
        <w:rPr>
          <w:rFonts w:eastAsia="Calibri"/>
          <w:lang w:val="ro-RO"/>
        </w:rPr>
        <w:t xml:space="preserve"> de </w:t>
      </w:r>
      <w:proofErr w:type="spellStart"/>
      <w:r w:rsidRPr="001D666A">
        <w:rPr>
          <w:rFonts w:eastAsia="Calibri"/>
          <w:lang w:val="ro-RO"/>
        </w:rPr>
        <w:t>Urgen</w:t>
      </w:r>
      <w:r w:rsidRPr="001D666A">
        <w:rPr>
          <w:rFonts w:eastAsia="Calibri" w:hint="eastAsia"/>
          <w:lang w:val="ro-RO"/>
        </w:rPr>
        <w:t>ţă</w:t>
      </w:r>
      <w:proofErr w:type="spellEnd"/>
      <w:r w:rsidRPr="001D666A">
        <w:rPr>
          <w:rFonts w:ascii="&amp;quot" w:eastAsia="Calibri" w:hAnsi="&amp;quot"/>
          <w:b/>
          <w:bCs/>
          <w:color w:val="000000"/>
          <w:sz w:val="20"/>
          <w:szCs w:val="20"/>
          <w:bdr w:val="none" w:sz="0" w:space="0" w:color="auto" w:frame="1"/>
        </w:rPr>
        <w:t xml:space="preserve"> </w:t>
      </w:r>
      <w:r w:rsidRPr="001D666A">
        <w:rPr>
          <w:rFonts w:eastAsia="Calibri"/>
          <w:lang w:val="ro-RO"/>
        </w:rPr>
        <w:t>nr. 27/2006</w:t>
      </w:r>
      <w:r w:rsidRPr="001D666A">
        <w:rPr>
          <w:rFonts w:ascii="&amp;quot" w:eastAsia="Calibri" w:hAnsi="&amp;quot"/>
          <w:b/>
          <w:bCs/>
          <w:color w:val="000000"/>
          <w:sz w:val="20"/>
          <w:szCs w:val="20"/>
          <w:bdr w:val="none" w:sz="0" w:space="0" w:color="auto" w:frame="1"/>
        </w:rPr>
        <w:t xml:space="preserve"> </w:t>
      </w:r>
      <w:r w:rsidRPr="001D666A">
        <w:rPr>
          <w:rFonts w:eastAsia="Calibri"/>
          <w:lang w:val="ro-RO"/>
        </w:rPr>
        <w:t xml:space="preserve">privind salarizarea </w:t>
      </w:r>
      <w:proofErr w:type="spellStart"/>
      <w:r w:rsidRPr="001D666A">
        <w:rPr>
          <w:rFonts w:eastAsia="Calibri"/>
          <w:lang w:val="ro-RO"/>
        </w:rPr>
        <w:t>şi</w:t>
      </w:r>
      <w:proofErr w:type="spellEnd"/>
      <w:r w:rsidRPr="001D666A">
        <w:rPr>
          <w:rFonts w:eastAsia="Calibri"/>
          <w:lang w:val="ro-RO"/>
        </w:rPr>
        <w:t xml:space="preserve"> alte drepturi ale judecătorilor, procurorilor </w:t>
      </w:r>
      <w:proofErr w:type="spellStart"/>
      <w:r w:rsidRPr="001D666A">
        <w:rPr>
          <w:rFonts w:eastAsia="Calibri"/>
          <w:lang w:val="ro-RO"/>
        </w:rPr>
        <w:t>şi</w:t>
      </w:r>
      <w:proofErr w:type="spellEnd"/>
      <w:r w:rsidRPr="001D666A">
        <w:rPr>
          <w:rFonts w:eastAsia="Calibri"/>
          <w:lang w:val="ro-RO"/>
        </w:rPr>
        <w:t xml:space="preserve"> altor categorii de personal din sistemul </w:t>
      </w:r>
      <w:proofErr w:type="spellStart"/>
      <w:r w:rsidRPr="001D666A">
        <w:rPr>
          <w:rFonts w:eastAsia="Calibri"/>
          <w:lang w:val="ro-RO"/>
        </w:rPr>
        <w:t>justiţiei</w:t>
      </w:r>
      <w:proofErr w:type="spellEnd"/>
      <w:r w:rsidRPr="001D666A">
        <w:rPr>
          <w:rFonts w:eastAsia="Calibri"/>
          <w:lang w:val="ro-RO"/>
        </w:rPr>
        <w:t>;</w:t>
      </w:r>
    </w:p>
    <w:p w:rsidR="001D666A" w:rsidRPr="001D666A" w:rsidRDefault="001D666A" w:rsidP="001D666A">
      <w:pPr>
        <w:numPr>
          <w:ilvl w:val="0"/>
          <w:numId w:val="16"/>
        </w:numPr>
        <w:spacing w:after="0" w:line="360" w:lineRule="auto"/>
        <w:rPr>
          <w:rFonts w:eastAsia="Calibri"/>
          <w:lang w:val="ro-RO"/>
        </w:rPr>
      </w:pPr>
      <w:r w:rsidRPr="001D666A">
        <w:rPr>
          <w:rFonts w:eastAsia="Calibri"/>
          <w:lang w:val="ro-RO"/>
        </w:rPr>
        <w:t xml:space="preserve">Legea nr. 303/2004 privind statutul judecătorilor </w:t>
      </w:r>
      <w:proofErr w:type="spellStart"/>
      <w:r w:rsidRPr="001D666A">
        <w:rPr>
          <w:rFonts w:eastAsia="Calibri"/>
          <w:lang w:val="ro-RO"/>
        </w:rPr>
        <w:t>şi</w:t>
      </w:r>
      <w:proofErr w:type="spellEnd"/>
      <w:r w:rsidRPr="001D666A">
        <w:rPr>
          <w:rFonts w:eastAsia="Calibri"/>
          <w:lang w:val="ro-RO"/>
        </w:rPr>
        <w:t xml:space="preserve"> procurorilor (Drepturi și îndatoriri);</w:t>
      </w:r>
    </w:p>
    <w:p w:rsidR="001D666A" w:rsidRPr="001D666A" w:rsidRDefault="001D666A" w:rsidP="001D666A">
      <w:pPr>
        <w:numPr>
          <w:ilvl w:val="0"/>
          <w:numId w:val="16"/>
        </w:numPr>
        <w:spacing w:after="0" w:line="360" w:lineRule="auto"/>
        <w:rPr>
          <w:rFonts w:eastAsia="Calibri"/>
          <w:lang w:val="ro-RO"/>
        </w:rPr>
      </w:pPr>
      <w:r w:rsidRPr="001D666A">
        <w:rPr>
          <w:rFonts w:eastAsia="Calibri"/>
          <w:lang w:val="ro-RO"/>
        </w:rPr>
        <w:t xml:space="preserve">Angajarea cheltuielilor publice ; Plata cheltuielilor </w:t>
      </w:r>
      <w:proofErr w:type="spellStart"/>
      <w:r w:rsidRPr="001D666A">
        <w:rPr>
          <w:rFonts w:eastAsia="Calibri"/>
          <w:lang w:val="ro-RO"/>
        </w:rPr>
        <w:t>instituţiilor</w:t>
      </w:r>
      <w:proofErr w:type="spellEnd"/>
      <w:r w:rsidRPr="001D666A">
        <w:rPr>
          <w:rFonts w:eastAsia="Calibri"/>
          <w:lang w:val="ro-RO"/>
        </w:rPr>
        <w:t xml:space="preserve"> publice, precum </w:t>
      </w:r>
      <w:proofErr w:type="spellStart"/>
      <w:r w:rsidRPr="001D666A">
        <w:rPr>
          <w:rFonts w:eastAsia="Calibri"/>
          <w:lang w:val="ro-RO"/>
        </w:rPr>
        <w:t>şi</w:t>
      </w:r>
      <w:proofErr w:type="spellEnd"/>
      <w:r w:rsidRPr="001D666A">
        <w:rPr>
          <w:rFonts w:eastAsia="Calibri"/>
          <w:lang w:val="ro-RO"/>
        </w:rPr>
        <w:t xml:space="preserve"> organizarea, </w:t>
      </w:r>
      <w:proofErr w:type="spellStart"/>
      <w:r w:rsidRPr="001D666A">
        <w:rPr>
          <w:rFonts w:eastAsia="Calibri"/>
          <w:lang w:val="ro-RO"/>
        </w:rPr>
        <w:t>evidenţa</w:t>
      </w:r>
      <w:proofErr w:type="spellEnd"/>
      <w:r w:rsidRPr="001D666A">
        <w:rPr>
          <w:rFonts w:eastAsia="Calibri"/>
          <w:lang w:val="ro-RO"/>
        </w:rPr>
        <w:t xml:space="preserve"> </w:t>
      </w:r>
      <w:proofErr w:type="spellStart"/>
      <w:r w:rsidRPr="001D666A">
        <w:rPr>
          <w:rFonts w:eastAsia="Calibri"/>
          <w:lang w:val="ro-RO"/>
        </w:rPr>
        <w:t>şi</w:t>
      </w:r>
      <w:proofErr w:type="spellEnd"/>
      <w:r w:rsidRPr="001D666A">
        <w:rPr>
          <w:rFonts w:eastAsia="Calibri"/>
          <w:lang w:val="ro-RO"/>
        </w:rPr>
        <w:t xml:space="preserve"> raportarea angajamentelor bugetare </w:t>
      </w:r>
      <w:proofErr w:type="spellStart"/>
      <w:r w:rsidRPr="001D666A">
        <w:rPr>
          <w:rFonts w:eastAsia="Calibri"/>
          <w:lang w:val="ro-RO"/>
        </w:rPr>
        <w:t>şi</w:t>
      </w:r>
      <w:proofErr w:type="spellEnd"/>
      <w:r w:rsidRPr="001D666A">
        <w:rPr>
          <w:rFonts w:eastAsia="Calibri"/>
          <w:lang w:val="ro-RO"/>
        </w:rPr>
        <w:t xml:space="preserve"> legale (OMFP nr.1792/2002);</w:t>
      </w:r>
    </w:p>
    <w:p w:rsidR="001D666A" w:rsidRPr="001D666A" w:rsidRDefault="001D666A" w:rsidP="001D666A">
      <w:pPr>
        <w:numPr>
          <w:ilvl w:val="0"/>
          <w:numId w:val="16"/>
        </w:numPr>
        <w:spacing w:after="0" w:line="360" w:lineRule="auto"/>
        <w:rPr>
          <w:rFonts w:eastAsia="Calibri"/>
          <w:lang w:val="ro-RO"/>
        </w:rPr>
      </w:pPr>
      <w:r w:rsidRPr="001D666A">
        <w:rPr>
          <w:rFonts w:eastAsia="Calibri"/>
          <w:lang w:val="ro-RO"/>
        </w:rPr>
        <w:t xml:space="preserve">Ordonanță de urgență nr. 114 din 28 decembrie 2018 privind instituirea unor măsuri în domeniul investițiilor publice și a unor măsuri fiscal-bugetare (Cap. II Măsuri fiscal-bugetare </w:t>
      </w:r>
      <w:proofErr w:type="spellStart"/>
      <w:r w:rsidRPr="001D666A">
        <w:rPr>
          <w:rFonts w:eastAsia="Calibri"/>
          <w:lang w:val="ro-RO"/>
        </w:rPr>
        <w:t>şi</w:t>
      </w:r>
      <w:proofErr w:type="spellEnd"/>
      <w:r w:rsidRPr="001D666A">
        <w:rPr>
          <w:rFonts w:eastAsia="Calibri"/>
          <w:lang w:val="ro-RO"/>
        </w:rPr>
        <w:t xml:space="preserve"> prorogarea unor termene)</w:t>
      </w:r>
    </w:p>
    <w:p w:rsidR="001D666A" w:rsidRPr="001D666A" w:rsidRDefault="001D666A" w:rsidP="001D666A">
      <w:pPr>
        <w:ind w:left="0"/>
        <w:rPr>
          <w:color w:val="000000" w:themeColor="text1"/>
          <w:lang w:val="ro-RO"/>
        </w:rPr>
      </w:pPr>
      <w:r w:rsidRPr="001D666A">
        <w:rPr>
          <w:color w:val="000000" w:themeColor="text1"/>
          <w:lang w:val="ro-RO"/>
        </w:rPr>
        <w:t xml:space="preserve">NOTĂ: </w:t>
      </w:r>
    </w:p>
    <w:p w:rsidR="001D666A" w:rsidRPr="001D666A" w:rsidRDefault="001D666A" w:rsidP="001D666A">
      <w:pPr>
        <w:ind w:left="0"/>
        <w:rPr>
          <w:b/>
          <w:color w:val="000000" w:themeColor="text1"/>
          <w:lang w:val="ro-RO"/>
        </w:rPr>
      </w:pPr>
      <w:r w:rsidRPr="001D666A">
        <w:rPr>
          <w:b/>
          <w:color w:val="000000" w:themeColor="text1"/>
          <w:lang w:val="ro-RO"/>
        </w:rPr>
        <w:t>În vederea pregătirii pentru concurs, candidații vor consulta bibliografia indicată, în forma actualizată, în vigoare la data publicării anunțului de concurs. Actele normative menționate pentru care nu sunt specificate titluri sau capitole vor fi studiate în întregime.</w:t>
      </w:r>
    </w:p>
    <w:p w:rsidR="001D666A" w:rsidRPr="001D666A" w:rsidRDefault="001D666A" w:rsidP="00B27FAC">
      <w:pPr>
        <w:spacing w:after="0"/>
        <w:ind w:left="0"/>
        <w:rPr>
          <w:lang w:val="ro-RO"/>
        </w:rPr>
      </w:pPr>
      <w:r w:rsidRPr="001D666A">
        <w:rPr>
          <w:color w:val="000000" w:themeColor="text1"/>
          <w:lang w:val="ro-RO"/>
        </w:rPr>
        <w:t xml:space="preserve">     </w:t>
      </w:r>
    </w:p>
    <w:p w:rsidR="00B00755" w:rsidRDefault="00B00755" w:rsidP="00F01888">
      <w:pPr>
        <w:spacing w:after="0" w:line="360" w:lineRule="auto"/>
        <w:ind w:left="0"/>
        <w:rPr>
          <w:lang w:val="ro-RO"/>
        </w:rPr>
      </w:pPr>
    </w:p>
    <w:sectPr w:rsidR="00B00755" w:rsidSect="00053936">
      <w:headerReference w:type="default" r:id="rId8"/>
      <w:footerReference w:type="default" r:id="rId9"/>
      <w:headerReference w:type="first" r:id="rId10"/>
      <w:footerReference w:type="first" r:id="rId11"/>
      <w:pgSz w:w="11900" w:h="16840" w:code="9"/>
      <w:pgMar w:top="851" w:right="418" w:bottom="851"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A71" w:rsidRDefault="00121A71" w:rsidP="00CD5B3B">
      <w:r>
        <w:separator/>
      </w:r>
    </w:p>
  </w:endnote>
  <w:endnote w:type="continuationSeparator" w:id="0">
    <w:p w:rsidR="00121A71" w:rsidRDefault="00121A7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Default="00736EB0" w:rsidP="00E15036">
    <w:pPr>
      <w:pStyle w:val="Footer"/>
      <w:ind w:left="-1701"/>
      <w:rPr>
        <w:szCs w:val="2"/>
      </w:rPr>
    </w:pPr>
    <w:r>
      <w:rPr>
        <w:noProof/>
        <w:lang w:val="ro-RO" w:eastAsia="ro-RO"/>
      </w:rPr>
      <w:drawing>
        <wp:anchor distT="0" distB="0" distL="114300" distR="114300" simplePos="0" relativeHeight="251658240" behindDoc="1" locked="0" layoutInCell="1" allowOverlap="1">
          <wp:simplePos x="0" y="0"/>
          <wp:positionH relativeFrom="column">
            <wp:posOffset>-1078230</wp:posOffset>
          </wp:positionH>
          <wp:positionV relativeFrom="paragraph">
            <wp:posOffset>-110490</wp:posOffset>
          </wp:positionV>
          <wp:extent cx="6769100" cy="488950"/>
          <wp:effectExtent l="0" t="0" r="0" b="0"/>
          <wp:wrapNone/>
          <wp:docPr id="3"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736EB0" w:rsidRPr="00361FB4" w:rsidTr="00B94FC5">
      <w:tc>
        <w:tcPr>
          <w:tcW w:w="1566" w:type="dxa"/>
        </w:tcPr>
        <w:p w:rsidR="00736EB0" w:rsidRPr="00036CF6" w:rsidRDefault="00736EB0" w:rsidP="00B94FC5">
          <w:pPr>
            <w:ind w:left="0"/>
            <w:rPr>
              <w:rFonts w:ascii="Arial" w:hAnsi="Arial" w:cs="Arial"/>
              <w:b/>
              <w:color w:val="003366"/>
              <w:sz w:val="16"/>
              <w:szCs w:val="16"/>
              <w:lang w:val="es-ES" w:eastAsia="ro-RO"/>
            </w:rPr>
          </w:pPr>
          <w:r w:rsidRPr="009B01AE">
            <w:rPr>
              <w:noProof/>
              <w:lang w:val="ro-RO" w:eastAsia="ro-RO"/>
            </w:rPr>
            <w:drawing>
              <wp:inline distT="0" distB="0" distL="0" distR="0">
                <wp:extent cx="266700" cy="266700"/>
                <wp:effectExtent l="0" t="0" r="0" b="0"/>
                <wp:docPr id="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extent cx="266700" cy="2667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736EB0" w:rsidRDefault="00736EB0" w:rsidP="00B94FC5">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736EB0" w:rsidRPr="00A15F97" w:rsidRDefault="00736EB0" w:rsidP="00B94FC5">
          <w:pPr>
            <w:tabs>
              <w:tab w:val="center" w:pos="4536"/>
              <w:tab w:val="right" w:pos="9072"/>
            </w:tabs>
            <w:spacing w:after="0" w:line="240" w:lineRule="auto"/>
            <w:ind w:left="136"/>
            <w:jc w:val="left"/>
            <w:rPr>
              <w:sz w:val="14"/>
              <w:szCs w:val="14"/>
              <w:lang w:val="ro-RO"/>
            </w:rPr>
          </w:pPr>
          <w:r>
            <w:rPr>
              <w:sz w:val="14"/>
              <w:szCs w:val="14"/>
              <w:lang w:val="ro-RO"/>
            </w:rPr>
            <w:t>Email: anabi@just.ro</w:t>
          </w:r>
        </w:p>
        <w:p w:rsidR="00736EB0" w:rsidRDefault="00736EB0" w:rsidP="00B94FC5">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736EB0" w:rsidRPr="00A15F97" w:rsidRDefault="00736EB0" w:rsidP="00B94FC5">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736EB0" w:rsidRPr="00036CF6" w:rsidRDefault="00121A71" w:rsidP="00B94FC5">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736EB0" w:rsidRPr="00BB0EC3">
              <w:rPr>
                <w:rStyle w:val="Hyperlink"/>
                <w:sz w:val="14"/>
                <w:szCs w:val="14"/>
                <w:lang w:val="ro-RO"/>
              </w:rPr>
              <w:t>anabi.just.ro</w:t>
            </w:r>
          </w:hyperlink>
        </w:p>
      </w:tc>
      <w:tc>
        <w:tcPr>
          <w:tcW w:w="3221" w:type="dxa"/>
        </w:tcPr>
        <w:p w:rsidR="00736EB0" w:rsidRPr="00763EB6" w:rsidRDefault="00736EB0" w:rsidP="00B94FC5">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sidR="00975AEE">
            <w:rPr>
              <w:noProof/>
              <w:sz w:val="14"/>
              <w:szCs w:val="14"/>
              <w:lang w:val="es-ES"/>
            </w:rPr>
            <w:t>4</w:t>
          </w:r>
          <w:r w:rsidRPr="00763EB6">
            <w:rPr>
              <w:sz w:val="14"/>
              <w:szCs w:val="14"/>
              <w:lang w:val="es-ES"/>
            </w:rPr>
            <w:fldChar w:fldCharType="end"/>
          </w:r>
          <w:r w:rsidRPr="00763EB6">
            <w:rPr>
              <w:sz w:val="14"/>
              <w:szCs w:val="14"/>
              <w:lang w:val="es-ES"/>
            </w:rPr>
            <w:t xml:space="preserve"> din </w:t>
          </w:r>
          <w:r w:rsidR="004A78C8">
            <w:rPr>
              <w:noProof/>
              <w:sz w:val="14"/>
              <w:szCs w:val="14"/>
              <w:lang w:val="es-ES"/>
            </w:rPr>
            <w:fldChar w:fldCharType="begin"/>
          </w:r>
          <w:r w:rsidR="004A78C8">
            <w:rPr>
              <w:noProof/>
              <w:sz w:val="14"/>
              <w:szCs w:val="14"/>
              <w:lang w:val="es-ES"/>
            </w:rPr>
            <w:instrText xml:space="preserve"> SECTIONPAGES   \* MERGEFORMAT </w:instrText>
          </w:r>
          <w:r w:rsidR="004A78C8">
            <w:rPr>
              <w:noProof/>
              <w:sz w:val="14"/>
              <w:szCs w:val="14"/>
              <w:lang w:val="es-ES"/>
            </w:rPr>
            <w:fldChar w:fldCharType="separate"/>
          </w:r>
          <w:r w:rsidR="00C9497C">
            <w:rPr>
              <w:noProof/>
              <w:sz w:val="14"/>
              <w:szCs w:val="14"/>
              <w:lang w:val="es-ES"/>
            </w:rPr>
            <w:t>3</w:t>
          </w:r>
          <w:r w:rsidR="004A78C8">
            <w:rPr>
              <w:noProof/>
              <w:sz w:val="14"/>
              <w:szCs w:val="14"/>
              <w:lang w:val="es-ES"/>
            </w:rPr>
            <w:fldChar w:fldCharType="end"/>
          </w:r>
        </w:p>
        <w:p w:rsidR="00736EB0" w:rsidRPr="00036CF6" w:rsidRDefault="00736EB0" w:rsidP="00B94FC5">
          <w:pPr>
            <w:tabs>
              <w:tab w:val="center" w:pos="4536"/>
              <w:tab w:val="right" w:pos="9072"/>
            </w:tabs>
            <w:jc w:val="right"/>
            <w:rPr>
              <w:rFonts w:ascii="Arial" w:hAnsi="Arial" w:cs="Arial"/>
              <w:b/>
              <w:sz w:val="16"/>
              <w:szCs w:val="16"/>
              <w:lang w:val="ro-RO" w:eastAsia="ro-RO"/>
            </w:rPr>
          </w:pPr>
        </w:p>
      </w:tc>
    </w:tr>
  </w:tbl>
  <w:p w:rsidR="00736EB0" w:rsidRPr="00A13B72" w:rsidRDefault="00736EB0"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Default="00736EB0" w:rsidP="003D6BD7">
    <w:pPr>
      <w:pStyle w:val="Footer"/>
      <w:ind w:left="-1701"/>
      <w:rPr>
        <w:szCs w:val="2"/>
      </w:rPr>
    </w:pPr>
    <w:r>
      <w:rPr>
        <w:noProof/>
        <w:lang w:val="ro-RO" w:eastAsia="ro-RO"/>
      </w:rPr>
      <w:drawing>
        <wp:anchor distT="0" distB="0" distL="114300" distR="114300" simplePos="0" relativeHeight="251657216" behindDoc="1" locked="0" layoutInCell="1" allowOverlap="1">
          <wp:simplePos x="0" y="0"/>
          <wp:positionH relativeFrom="column">
            <wp:posOffset>-1078230</wp:posOffset>
          </wp:positionH>
          <wp:positionV relativeFrom="paragraph">
            <wp:posOffset>-110490</wp:posOffset>
          </wp:positionV>
          <wp:extent cx="6769100" cy="488950"/>
          <wp:effectExtent l="0" t="0" r="0" b="0"/>
          <wp:wrapNone/>
          <wp:docPr id="1"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
      </w:rPr>
      <w:t xml:space="preserve"> </w:t>
    </w:r>
  </w:p>
  <w:tbl>
    <w:tblPr>
      <w:tblW w:w="10773" w:type="dxa"/>
      <w:tblInd w:w="-1701" w:type="dxa"/>
      <w:tblLook w:val="04A0" w:firstRow="1" w:lastRow="0" w:firstColumn="1" w:lastColumn="0" w:noHBand="0" w:noVBand="1"/>
    </w:tblPr>
    <w:tblGrid>
      <w:gridCol w:w="1566"/>
      <w:gridCol w:w="5986"/>
      <w:gridCol w:w="3221"/>
    </w:tblGrid>
    <w:tr w:rsidR="00736EB0" w:rsidRPr="00361FB4" w:rsidTr="00B94FC5">
      <w:tc>
        <w:tcPr>
          <w:tcW w:w="1566" w:type="dxa"/>
        </w:tcPr>
        <w:p w:rsidR="00736EB0" w:rsidRPr="00036CF6" w:rsidRDefault="00736EB0" w:rsidP="00E15036">
          <w:pPr>
            <w:ind w:left="0"/>
            <w:rPr>
              <w:rFonts w:ascii="Arial" w:hAnsi="Arial" w:cs="Arial"/>
              <w:b/>
              <w:color w:val="003366"/>
              <w:sz w:val="16"/>
              <w:szCs w:val="16"/>
              <w:lang w:val="es-ES" w:eastAsia="ro-RO"/>
            </w:rPr>
          </w:pPr>
          <w:r w:rsidRPr="009B01AE">
            <w:rPr>
              <w:noProof/>
              <w:lang w:val="ro-RO" w:eastAsia="ro-RO"/>
            </w:rPr>
            <w:drawing>
              <wp:inline distT="0" distB="0" distL="0" distR="0">
                <wp:extent cx="266700" cy="266700"/>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01AE">
            <w:rPr>
              <w:noProof/>
              <w:lang w:val="ro-RO" w:eastAsia="ro-RO"/>
            </w:rPr>
            <w:drawing>
              <wp:inline distT="0" distB="0" distL="0" distR="0">
                <wp:extent cx="266700" cy="266700"/>
                <wp:effectExtent l="0" t="0" r="0" b="0"/>
                <wp:docPr id="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86" w:type="dxa"/>
          <w:tcBorders>
            <w:left w:val="nil"/>
          </w:tcBorders>
        </w:tcPr>
        <w:p w:rsidR="00736EB0" w:rsidRDefault="00736EB0"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rsidR="00736EB0" w:rsidRPr="00A15F97" w:rsidRDefault="00736EB0"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rsidR="00736EB0" w:rsidRDefault="00736EB0" w:rsidP="00D66333">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rsidR="00736EB0" w:rsidRPr="00A15F97" w:rsidRDefault="00736EB0"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rsidR="00736EB0" w:rsidRPr="00036CF6" w:rsidRDefault="00121A71" w:rsidP="00D66333">
          <w:pPr>
            <w:tabs>
              <w:tab w:val="center" w:pos="4320"/>
              <w:tab w:val="right" w:pos="8640"/>
            </w:tabs>
            <w:spacing w:after="0" w:line="240" w:lineRule="auto"/>
            <w:ind w:left="136"/>
            <w:rPr>
              <w:rFonts w:ascii="Arial" w:hAnsi="Arial" w:cs="Arial"/>
              <w:b/>
              <w:color w:val="003366"/>
              <w:sz w:val="16"/>
              <w:szCs w:val="16"/>
              <w:lang w:val="ro-RO" w:eastAsia="ro-RO"/>
            </w:rPr>
          </w:pPr>
          <w:hyperlink r:id="rId4" w:history="1">
            <w:r w:rsidR="00736EB0" w:rsidRPr="00BB0EC3">
              <w:rPr>
                <w:rStyle w:val="Hyperlink"/>
                <w:sz w:val="14"/>
                <w:szCs w:val="14"/>
                <w:lang w:val="ro-RO"/>
              </w:rPr>
              <w:t>anabi.just.ro</w:t>
            </w:r>
          </w:hyperlink>
        </w:p>
      </w:tc>
      <w:tc>
        <w:tcPr>
          <w:tcW w:w="3221" w:type="dxa"/>
        </w:tcPr>
        <w:p w:rsidR="00736EB0" w:rsidRPr="00763EB6" w:rsidRDefault="00736EB0" w:rsidP="00B94FC5">
          <w:pPr>
            <w:tabs>
              <w:tab w:val="center" w:pos="4536"/>
              <w:tab w:val="right" w:pos="9072"/>
            </w:tabs>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763EB6">
            <w:rPr>
              <w:sz w:val="14"/>
              <w:szCs w:val="14"/>
              <w:lang w:val="es-ES"/>
            </w:rPr>
            <w:fldChar w:fldCharType="begin"/>
          </w:r>
          <w:r w:rsidRPr="00763EB6">
            <w:rPr>
              <w:sz w:val="14"/>
              <w:szCs w:val="14"/>
              <w:lang w:val="es-ES"/>
            </w:rPr>
            <w:instrText xml:space="preserve"> PAGE </w:instrText>
          </w:r>
          <w:r w:rsidRPr="00763EB6">
            <w:rPr>
              <w:sz w:val="14"/>
              <w:szCs w:val="14"/>
              <w:lang w:val="es-ES"/>
            </w:rPr>
            <w:fldChar w:fldCharType="separate"/>
          </w:r>
          <w:r w:rsidR="00975AEE">
            <w:rPr>
              <w:noProof/>
              <w:sz w:val="14"/>
              <w:szCs w:val="14"/>
              <w:lang w:val="es-ES"/>
            </w:rPr>
            <w:t>1</w:t>
          </w:r>
          <w:r w:rsidRPr="00763EB6">
            <w:rPr>
              <w:sz w:val="14"/>
              <w:szCs w:val="14"/>
              <w:lang w:val="es-ES"/>
            </w:rPr>
            <w:fldChar w:fldCharType="end"/>
          </w:r>
          <w:r w:rsidRPr="00763EB6">
            <w:rPr>
              <w:sz w:val="14"/>
              <w:szCs w:val="14"/>
              <w:lang w:val="es-ES"/>
            </w:rPr>
            <w:t xml:space="preserve"> din </w:t>
          </w:r>
          <w:r w:rsidR="004A78C8">
            <w:rPr>
              <w:noProof/>
              <w:sz w:val="14"/>
              <w:szCs w:val="14"/>
              <w:lang w:val="es-ES"/>
            </w:rPr>
            <w:fldChar w:fldCharType="begin"/>
          </w:r>
          <w:r w:rsidR="004A78C8">
            <w:rPr>
              <w:noProof/>
              <w:sz w:val="14"/>
              <w:szCs w:val="14"/>
              <w:lang w:val="es-ES"/>
            </w:rPr>
            <w:instrText xml:space="preserve"> SECTIONPAGES   \* MERGEFORMAT </w:instrText>
          </w:r>
          <w:r w:rsidR="004A78C8">
            <w:rPr>
              <w:noProof/>
              <w:sz w:val="14"/>
              <w:szCs w:val="14"/>
              <w:lang w:val="es-ES"/>
            </w:rPr>
            <w:fldChar w:fldCharType="separate"/>
          </w:r>
          <w:r w:rsidR="006B0226">
            <w:rPr>
              <w:noProof/>
              <w:sz w:val="14"/>
              <w:szCs w:val="14"/>
              <w:lang w:val="es-ES"/>
            </w:rPr>
            <w:t>3</w:t>
          </w:r>
          <w:r w:rsidR="004A78C8">
            <w:rPr>
              <w:noProof/>
              <w:sz w:val="14"/>
              <w:szCs w:val="14"/>
              <w:lang w:val="es-ES"/>
            </w:rPr>
            <w:fldChar w:fldCharType="end"/>
          </w:r>
        </w:p>
        <w:p w:rsidR="00736EB0" w:rsidRPr="00036CF6" w:rsidRDefault="00736EB0" w:rsidP="00D66333">
          <w:pPr>
            <w:tabs>
              <w:tab w:val="center" w:pos="4536"/>
              <w:tab w:val="right" w:pos="9072"/>
            </w:tabs>
            <w:jc w:val="right"/>
            <w:rPr>
              <w:rFonts w:ascii="Arial" w:hAnsi="Arial" w:cs="Arial"/>
              <w:b/>
              <w:sz w:val="16"/>
              <w:szCs w:val="16"/>
              <w:lang w:val="ro-RO" w:eastAsia="ro-RO"/>
            </w:rPr>
          </w:pPr>
        </w:p>
      </w:tc>
    </w:tr>
  </w:tbl>
  <w:p w:rsidR="00736EB0" w:rsidRPr="003D6BD7" w:rsidRDefault="00736EB0"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A71" w:rsidRDefault="00121A71" w:rsidP="00AE0541">
      <w:pPr>
        <w:spacing w:after="0"/>
        <w:ind w:left="0"/>
      </w:pPr>
      <w:r>
        <w:separator/>
      </w:r>
    </w:p>
  </w:footnote>
  <w:footnote w:type="continuationSeparator" w:id="0">
    <w:p w:rsidR="00121A71" w:rsidRDefault="00121A71" w:rsidP="00AE0541">
      <w:pPr>
        <w:ind w:left="0"/>
      </w:pPr>
      <w:r>
        <w:continuationSeparator/>
      </w:r>
    </w:p>
  </w:footnote>
  <w:footnote w:type="continuationNotice" w:id="1">
    <w:p w:rsidR="00121A71" w:rsidRDefault="00121A71"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Pr="00CD5B3B" w:rsidRDefault="00736EB0" w:rsidP="00A13B72">
    <w:pPr>
      <w:pStyle w:val="Header"/>
      <w:spacing w:before="240" w:after="240" w:line="240" w:lineRule="auto"/>
      <w:ind w:left="0"/>
    </w:pPr>
    <w:r w:rsidRPr="009B01AE">
      <w:rPr>
        <w:noProof/>
        <w:lang w:val="ro-RO" w:eastAsia="ro-RO"/>
      </w:rPr>
      <w:drawing>
        <wp:inline distT="0" distB="0" distL="0" distR="0">
          <wp:extent cx="3152775" cy="533400"/>
          <wp:effectExtent l="0" t="0" r="0" b="0"/>
          <wp:docPr id="2"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B0" w:rsidRPr="00A413D4" w:rsidRDefault="00736EB0" w:rsidP="003D6BD7">
    <w:pPr>
      <w:pStyle w:val="Header"/>
      <w:tabs>
        <w:tab w:val="clear" w:pos="8640"/>
      </w:tabs>
      <w:spacing w:after="0"/>
      <w:ind w:left="-1701"/>
      <w:rPr>
        <w:sz w:val="2"/>
        <w:szCs w:val="2"/>
      </w:rPr>
    </w:pPr>
    <w:r>
      <w:rPr>
        <w:noProof/>
        <w:lang w:val="ro-RO" w:eastAsia="ro-RO"/>
      </w:rPr>
      <w:t xml:space="preserve">                                                      </w:t>
    </w:r>
    <w:r w:rsidRPr="00637512">
      <w:rPr>
        <w:noProof/>
        <w:sz w:val="2"/>
        <w:szCs w:val="2"/>
        <w:lang w:val="ro-RO" w:eastAsia="ro-RO"/>
      </w:rPr>
      <w:drawing>
        <wp:inline distT="0" distB="0" distL="0" distR="0">
          <wp:extent cx="6753225" cy="885825"/>
          <wp:effectExtent l="0" t="0" r="0" b="0"/>
          <wp:docPr id="8"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4F"/>
    <w:multiLevelType w:val="hybridMultilevel"/>
    <w:tmpl w:val="41D27B12"/>
    <w:lvl w:ilvl="0" w:tplc="B7F4B82E">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D52DDA"/>
    <w:multiLevelType w:val="hybridMultilevel"/>
    <w:tmpl w:val="8B9A1DCE"/>
    <w:lvl w:ilvl="0" w:tplc="83C0C87A">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E8490B"/>
    <w:multiLevelType w:val="hybridMultilevel"/>
    <w:tmpl w:val="FE56C0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EE1921"/>
    <w:multiLevelType w:val="hybridMultilevel"/>
    <w:tmpl w:val="634AAC24"/>
    <w:lvl w:ilvl="0" w:tplc="F0D6CE0E">
      <w:numFmt w:val="bullet"/>
      <w:lvlText w:val="-"/>
      <w:lvlJc w:val="left"/>
      <w:pPr>
        <w:ind w:left="-1058" w:hanging="360"/>
      </w:pPr>
      <w:rPr>
        <w:rFonts w:ascii="Trebuchet MS" w:eastAsia="MS Mincho" w:hAnsi="Trebuchet MS" w:hint="default"/>
      </w:rPr>
    </w:lvl>
    <w:lvl w:ilvl="1" w:tplc="04180003" w:tentative="1">
      <w:start w:val="1"/>
      <w:numFmt w:val="bullet"/>
      <w:lvlText w:val="o"/>
      <w:lvlJc w:val="left"/>
      <w:pPr>
        <w:ind w:left="-338" w:hanging="360"/>
      </w:pPr>
      <w:rPr>
        <w:rFonts w:ascii="Courier New" w:hAnsi="Courier New" w:hint="default"/>
      </w:rPr>
    </w:lvl>
    <w:lvl w:ilvl="2" w:tplc="04180005" w:tentative="1">
      <w:start w:val="1"/>
      <w:numFmt w:val="bullet"/>
      <w:lvlText w:val=""/>
      <w:lvlJc w:val="left"/>
      <w:pPr>
        <w:ind w:left="382" w:hanging="360"/>
      </w:pPr>
      <w:rPr>
        <w:rFonts w:ascii="Wingdings" w:hAnsi="Wingdings" w:hint="default"/>
      </w:rPr>
    </w:lvl>
    <w:lvl w:ilvl="3" w:tplc="04180001" w:tentative="1">
      <w:start w:val="1"/>
      <w:numFmt w:val="bullet"/>
      <w:lvlText w:val=""/>
      <w:lvlJc w:val="left"/>
      <w:pPr>
        <w:ind w:left="1102" w:hanging="360"/>
      </w:pPr>
      <w:rPr>
        <w:rFonts w:ascii="Symbol" w:hAnsi="Symbol" w:hint="default"/>
      </w:rPr>
    </w:lvl>
    <w:lvl w:ilvl="4" w:tplc="04180003" w:tentative="1">
      <w:start w:val="1"/>
      <w:numFmt w:val="bullet"/>
      <w:lvlText w:val="o"/>
      <w:lvlJc w:val="left"/>
      <w:pPr>
        <w:ind w:left="1822" w:hanging="360"/>
      </w:pPr>
      <w:rPr>
        <w:rFonts w:ascii="Courier New" w:hAnsi="Courier New" w:hint="default"/>
      </w:rPr>
    </w:lvl>
    <w:lvl w:ilvl="5" w:tplc="04180005" w:tentative="1">
      <w:start w:val="1"/>
      <w:numFmt w:val="bullet"/>
      <w:lvlText w:val=""/>
      <w:lvlJc w:val="left"/>
      <w:pPr>
        <w:ind w:left="2542" w:hanging="360"/>
      </w:pPr>
      <w:rPr>
        <w:rFonts w:ascii="Wingdings" w:hAnsi="Wingdings" w:hint="default"/>
      </w:rPr>
    </w:lvl>
    <w:lvl w:ilvl="6" w:tplc="04180001" w:tentative="1">
      <w:start w:val="1"/>
      <w:numFmt w:val="bullet"/>
      <w:lvlText w:val=""/>
      <w:lvlJc w:val="left"/>
      <w:pPr>
        <w:ind w:left="3262" w:hanging="360"/>
      </w:pPr>
      <w:rPr>
        <w:rFonts w:ascii="Symbol" w:hAnsi="Symbol" w:hint="default"/>
      </w:rPr>
    </w:lvl>
    <w:lvl w:ilvl="7" w:tplc="04180003" w:tentative="1">
      <w:start w:val="1"/>
      <w:numFmt w:val="bullet"/>
      <w:lvlText w:val="o"/>
      <w:lvlJc w:val="left"/>
      <w:pPr>
        <w:ind w:left="3982" w:hanging="360"/>
      </w:pPr>
      <w:rPr>
        <w:rFonts w:ascii="Courier New" w:hAnsi="Courier New" w:hint="default"/>
      </w:rPr>
    </w:lvl>
    <w:lvl w:ilvl="8" w:tplc="04180005" w:tentative="1">
      <w:start w:val="1"/>
      <w:numFmt w:val="bullet"/>
      <w:lvlText w:val=""/>
      <w:lvlJc w:val="left"/>
      <w:pPr>
        <w:ind w:left="4702" w:hanging="360"/>
      </w:pPr>
      <w:rPr>
        <w:rFonts w:ascii="Wingdings" w:hAnsi="Wingdings" w:hint="default"/>
      </w:rPr>
    </w:lvl>
  </w:abstractNum>
  <w:abstractNum w:abstractNumId="5" w15:restartNumberingAfterBreak="0">
    <w:nsid w:val="23F816EB"/>
    <w:multiLevelType w:val="hybridMultilevel"/>
    <w:tmpl w:val="5FF0D42E"/>
    <w:lvl w:ilvl="0" w:tplc="139C9E0A">
      <w:numFmt w:val="bullet"/>
      <w:lvlText w:val="-"/>
      <w:lvlJc w:val="left"/>
      <w:pPr>
        <w:ind w:left="2061" w:hanging="360"/>
      </w:pPr>
      <w:rPr>
        <w:rFonts w:ascii="Trebuchet MS" w:eastAsia="Times New Roman" w:hAnsi="Trebuchet MS" w:hint="default"/>
      </w:rPr>
    </w:lvl>
    <w:lvl w:ilvl="1" w:tplc="04180003" w:tentative="1">
      <w:start w:val="1"/>
      <w:numFmt w:val="bullet"/>
      <w:lvlText w:val="o"/>
      <w:lvlJc w:val="left"/>
      <w:pPr>
        <w:ind w:left="2781" w:hanging="360"/>
      </w:pPr>
      <w:rPr>
        <w:rFonts w:ascii="Courier New" w:hAnsi="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6" w15:restartNumberingAfterBreak="0">
    <w:nsid w:val="2A913702"/>
    <w:multiLevelType w:val="hybridMultilevel"/>
    <w:tmpl w:val="FDBCB0C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15:restartNumberingAfterBreak="0">
    <w:nsid w:val="321A4C8E"/>
    <w:multiLevelType w:val="hybridMultilevel"/>
    <w:tmpl w:val="76F4D30E"/>
    <w:lvl w:ilvl="0" w:tplc="0418000B">
      <w:start w:val="1"/>
      <w:numFmt w:val="bullet"/>
      <w:lvlText w:val=""/>
      <w:lvlJc w:val="left"/>
      <w:pPr>
        <w:ind w:left="786" w:hanging="360"/>
      </w:pPr>
      <w:rPr>
        <w:rFonts w:ascii="Wingdings" w:hAnsi="Wingdings" w:hint="default"/>
      </w:rPr>
    </w:lvl>
    <w:lvl w:ilvl="1" w:tplc="04180003">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40AF4C0F"/>
    <w:multiLevelType w:val="hybridMultilevel"/>
    <w:tmpl w:val="D32E2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A498B"/>
    <w:multiLevelType w:val="hybridMultilevel"/>
    <w:tmpl w:val="278C7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C4616"/>
    <w:multiLevelType w:val="multilevel"/>
    <w:tmpl w:val="CF2C55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8D81589"/>
    <w:multiLevelType w:val="hybridMultilevel"/>
    <w:tmpl w:val="6F9AD79C"/>
    <w:lvl w:ilvl="0" w:tplc="93A00F5A">
      <w:numFmt w:val="bullet"/>
      <w:lvlText w:val="-"/>
      <w:lvlJc w:val="left"/>
      <w:pPr>
        <w:ind w:left="1035" w:hanging="360"/>
      </w:pPr>
      <w:rPr>
        <w:rFonts w:ascii="Trebuchet MS" w:eastAsia="MS Mincho" w:hAnsi="Trebuchet MS" w:hint="default"/>
      </w:rPr>
    </w:lvl>
    <w:lvl w:ilvl="1" w:tplc="04180003" w:tentative="1">
      <w:start w:val="1"/>
      <w:numFmt w:val="bullet"/>
      <w:lvlText w:val="o"/>
      <w:lvlJc w:val="left"/>
      <w:pPr>
        <w:ind w:left="1755" w:hanging="360"/>
      </w:pPr>
      <w:rPr>
        <w:rFonts w:ascii="Courier New" w:hAnsi="Courier New" w:hint="default"/>
      </w:rPr>
    </w:lvl>
    <w:lvl w:ilvl="2" w:tplc="04180005" w:tentative="1">
      <w:start w:val="1"/>
      <w:numFmt w:val="bullet"/>
      <w:lvlText w:val=""/>
      <w:lvlJc w:val="left"/>
      <w:pPr>
        <w:ind w:left="2475" w:hanging="360"/>
      </w:pPr>
      <w:rPr>
        <w:rFonts w:ascii="Wingdings" w:hAnsi="Wingdings" w:hint="default"/>
      </w:rPr>
    </w:lvl>
    <w:lvl w:ilvl="3" w:tplc="04180001" w:tentative="1">
      <w:start w:val="1"/>
      <w:numFmt w:val="bullet"/>
      <w:lvlText w:val=""/>
      <w:lvlJc w:val="left"/>
      <w:pPr>
        <w:ind w:left="3195" w:hanging="360"/>
      </w:pPr>
      <w:rPr>
        <w:rFonts w:ascii="Symbol" w:hAnsi="Symbol" w:hint="default"/>
      </w:rPr>
    </w:lvl>
    <w:lvl w:ilvl="4" w:tplc="04180003" w:tentative="1">
      <w:start w:val="1"/>
      <w:numFmt w:val="bullet"/>
      <w:lvlText w:val="o"/>
      <w:lvlJc w:val="left"/>
      <w:pPr>
        <w:ind w:left="3915" w:hanging="360"/>
      </w:pPr>
      <w:rPr>
        <w:rFonts w:ascii="Courier New" w:hAnsi="Courier New" w:hint="default"/>
      </w:rPr>
    </w:lvl>
    <w:lvl w:ilvl="5" w:tplc="04180005" w:tentative="1">
      <w:start w:val="1"/>
      <w:numFmt w:val="bullet"/>
      <w:lvlText w:val=""/>
      <w:lvlJc w:val="left"/>
      <w:pPr>
        <w:ind w:left="4635" w:hanging="360"/>
      </w:pPr>
      <w:rPr>
        <w:rFonts w:ascii="Wingdings" w:hAnsi="Wingdings" w:hint="default"/>
      </w:rPr>
    </w:lvl>
    <w:lvl w:ilvl="6" w:tplc="04180001" w:tentative="1">
      <w:start w:val="1"/>
      <w:numFmt w:val="bullet"/>
      <w:lvlText w:val=""/>
      <w:lvlJc w:val="left"/>
      <w:pPr>
        <w:ind w:left="5355" w:hanging="360"/>
      </w:pPr>
      <w:rPr>
        <w:rFonts w:ascii="Symbol" w:hAnsi="Symbol" w:hint="default"/>
      </w:rPr>
    </w:lvl>
    <w:lvl w:ilvl="7" w:tplc="04180003" w:tentative="1">
      <w:start w:val="1"/>
      <w:numFmt w:val="bullet"/>
      <w:lvlText w:val="o"/>
      <w:lvlJc w:val="left"/>
      <w:pPr>
        <w:ind w:left="6075" w:hanging="360"/>
      </w:pPr>
      <w:rPr>
        <w:rFonts w:ascii="Courier New" w:hAnsi="Courier New" w:hint="default"/>
      </w:rPr>
    </w:lvl>
    <w:lvl w:ilvl="8" w:tplc="04180005" w:tentative="1">
      <w:start w:val="1"/>
      <w:numFmt w:val="bullet"/>
      <w:lvlText w:val=""/>
      <w:lvlJc w:val="left"/>
      <w:pPr>
        <w:ind w:left="6795" w:hanging="360"/>
      </w:pPr>
      <w:rPr>
        <w:rFonts w:ascii="Wingdings" w:hAnsi="Wingdings" w:hint="default"/>
      </w:rPr>
    </w:lvl>
  </w:abstractNum>
  <w:abstractNum w:abstractNumId="12"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4706272"/>
    <w:multiLevelType w:val="hybridMultilevel"/>
    <w:tmpl w:val="7660AF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F44181"/>
    <w:multiLevelType w:val="hybridMultilevel"/>
    <w:tmpl w:val="7462766A"/>
    <w:lvl w:ilvl="0" w:tplc="139C9E0A">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F573184"/>
    <w:multiLevelType w:val="hybridMultilevel"/>
    <w:tmpl w:val="E9364E50"/>
    <w:lvl w:ilvl="0" w:tplc="202800CC">
      <w:start w:val="1"/>
      <w:numFmt w:val="lowerLetter"/>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5"/>
  </w:num>
  <w:num w:numId="4">
    <w:abstractNumId w:val="16"/>
  </w:num>
  <w:num w:numId="5">
    <w:abstractNumId w:val="11"/>
  </w:num>
  <w:num w:numId="6">
    <w:abstractNumId w:val="0"/>
  </w:num>
  <w:num w:numId="7">
    <w:abstractNumId w:val="1"/>
  </w:num>
  <w:num w:numId="8">
    <w:abstractNumId w:val="4"/>
  </w:num>
  <w:num w:numId="9">
    <w:abstractNumId w:val="2"/>
  </w:num>
  <w:num w:numId="10">
    <w:abstractNumId w:val="8"/>
  </w:num>
  <w:num w:numId="11">
    <w:abstractNumId w:val="10"/>
  </w:num>
  <w:num w:numId="12">
    <w:abstractNumId w:val="12"/>
  </w:num>
  <w:num w:numId="13">
    <w:abstractNumId w:val="15"/>
  </w:num>
  <w:num w:numId="14">
    <w:abstractNumId w:val="6"/>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6DE"/>
    <w:rsid w:val="00004CD3"/>
    <w:rsid w:val="00012EE0"/>
    <w:rsid w:val="0001350E"/>
    <w:rsid w:val="00014628"/>
    <w:rsid w:val="00017825"/>
    <w:rsid w:val="00023330"/>
    <w:rsid w:val="000260EC"/>
    <w:rsid w:val="00033001"/>
    <w:rsid w:val="00034BB6"/>
    <w:rsid w:val="00035605"/>
    <w:rsid w:val="000364BD"/>
    <w:rsid w:val="00036CF6"/>
    <w:rsid w:val="0004183A"/>
    <w:rsid w:val="00041AC2"/>
    <w:rsid w:val="00045C52"/>
    <w:rsid w:val="00053936"/>
    <w:rsid w:val="0005414F"/>
    <w:rsid w:val="00054979"/>
    <w:rsid w:val="000565C9"/>
    <w:rsid w:val="00065196"/>
    <w:rsid w:val="0007041B"/>
    <w:rsid w:val="0007728D"/>
    <w:rsid w:val="00077CDD"/>
    <w:rsid w:val="00080290"/>
    <w:rsid w:val="00080B90"/>
    <w:rsid w:val="000820D2"/>
    <w:rsid w:val="00097D38"/>
    <w:rsid w:val="000B27B3"/>
    <w:rsid w:val="000B3407"/>
    <w:rsid w:val="000B65AB"/>
    <w:rsid w:val="000C29D4"/>
    <w:rsid w:val="000C7C70"/>
    <w:rsid w:val="000D522E"/>
    <w:rsid w:val="000D5E67"/>
    <w:rsid w:val="000E1FD4"/>
    <w:rsid w:val="000E299E"/>
    <w:rsid w:val="000E7F50"/>
    <w:rsid w:val="000F0179"/>
    <w:rsid w:val="000F2024"/>
    <w:rsid w:val="000F52D3"/>
    <w:rsid w:val="000F6EF4"/>
    <w:rsid w:val="00100F36"/>
    <w:rsid w:val="0010241F"/>
    <w:rsid w:val="00102A5F"/>
    <w:rsid w:val="00102D15"/>
    <w:rsid w:val="00107214"/>
    <w:rsid w:val="00107A92"/>
    <w:rsid w:val="001119F7"/>
    <w:rsid w:val="00117311"/>
    <w:rsid w:val="00120EDC"/>
    <w:rsid w:val="00121A71"/>
    <w:rsid w:val="001223F2"/>
    <w:rsid w:val="00123A8F"/>
    <w:rsid w:val="001248C7"/>
    <w:rsid w:val="00126709"/>
    <w:rsid w:val="00126AD1"/>
    <w:rsid w:val="00130033"/>
    <w:rsid w:val="00135AA6"/>
    <w:rsid w:val="001370A1"/>
    <w:rsid w:val="00140F2A"/>
    <w:rsid w:val="00143CC2"/>
    <w:rsid w:val="001457CC"/>
    <w:rsid w:val="00146A69"/>
    <w:rsid w:val="00155389"/>
    <w:rsid w:val="00157BC6"/>
    <w:rsid w:val="0016317D"/>
    <w:rsid w:val="00164C24"/>
    <w:rsid w:val="001660C0"/>
    <w:rsid w:val="00166AFF"/>
    <w:rsid w:val="00171256"/>
    <w:rsid w:val="001719C3"/>
    <w:rsid w:val="00176C09"/>
    <w:rsid w:val="001770E4"/>
    <w:rsid w:val="00182C08"/>
    <w:rsid w:val="0018471E"/>
    <w:rsid w:val="00185766"/>
    <w:rsid w:val="00190F3A"/>
    <w:rsid w:val="0019121F"/>
    <w:rsid w:val="0019195F"/>
    <w:rsid w:val="001A392E"/>
    <w:rsid w:val="001B296A"/>
    <w:rsid w:val="001B4728"/>
    <w:rsid w:val="001B5DE4"/>
    <w:rsid w:val="001C6835"/>
    <w:rsid w:val="001D1DBF"/>
    <w:rsid w:val="001D2CAA"/>
    <w:rsid w:val="001D30EE"/>
    <w:rsid w:val="001D4CFD"/>
    <w:rsid w:val="001D666A"/>
    <w:rsid w:val="001D75FD"/>
    <w:rsid w:val="001E2182"/>
    <w:rsid w:val="001F50B1"/>
    <w:rsid w:val="001F5752"/>
    <w:rsid w:val="001F6276"/>
    <w:rsid w:val="001F65B9"/>
    <w:rsid w:val="001F6D83"/>
    <w:rsid w:val="002059EF"/>
    <w:rsid w:val="00210BB5"/>
    <w:rsid w:val="00211EB4"/>
    <w:rsid w:val="00212A34"/>
    <w:rsid w:val="00221732"/>
    <w:rsid w:val="002300D7"/>
    <w:rsid w:val="00230D59"/>
    <w:rsid w:val="0023249B"/>
    <w:rsid w:val="002349BC"/>
    <w:rsid w:val="0023635A"/>
    <w:rsid w:val="00237EC1"/>
    <w:rsid w:val="00247F16"/>
    <w:rsid w:val="0026316F"/>
    <w:rsid w:val="0026399B"/>
    <w:rsid w:val="0027019D"/>
    <w:rsid w:val="00272628"/>
    <w:rsid w:val="00274FDD"/>
    <w:rsid w:val="00282055"/>
    <w:rsid w:val="00284604"/>
    <w:rsid w:val="00287EF5"/>
    <w:rsid w:val="00295F0F"/>
    <w:rsid w:val="0029650F"/>
    <w:rsid w:val="002A2B35"/>
    <w:rsid w:val="002A5742"/>
    <w:rsid w:val="002B2D08"/>
    <w:rsid w:val="002B6847"/>
    <w:rsid w:val="002C0B5C"/>
    <w:rsid w:val="002C1B28"/>
    <w:rsid w:val="002C1E8C"/>
    <w:rsid w:val="002C5E09"/>
    <w:rsid w:val="002C6E69"/>
    <w:rsid w:val="002D2CE4"/>
    <w:rsid w:val="002D3984"/>
    <w:rsid w:val="002E1D10"/>
    <w:rsid w:val="002F42F5"/>
    <w:rsid w:val="002F78BF"/>
    <w:rsid w:val="003002D9"/>
    <w:rsid w:val="003016CA"/>
    <w:rsid w:val="0030413B"/>
    <w:rsid w:val="00305523"/>
    <w:rsid w:val="00311BAE"/>
    <w:rsid w:val="00312E32"/>
    <w:rsid w:val="00321D00"/>
    <w:rsid w:val="003224E4"/>
    <w:rsid w:val="0032422C"/>
    <w:rsid w:val="00325726"/>
    <w:rsid w:val="003341DC"/>
    <w:rsid w:val="0033619D"/>
    <w:rsid w:val="00341641"/>
    <w:rsid w:val="003453FD"/>
    <w:rsid w:val="00345CCE"/>
    <w:rsid w:val="00361FB4"/>
    <w:rsid w:val="0036764A"/>
    <w:rsid w:val="00370218"/>
    <w:rsid w:val="00372ED2"/>
    <w:rsid w:val="00374A3B"/>
    <w:rsid w:val="003777A2"/>
    <w:rsid w:val="00386057"/>
    <w:rsid w:val="00386363"/>
    <w:rsid w:val="003870F0"/>
    <w:rsid w:val="00390996"/>
    <w:rsid w:val="00391577"/>
    <w:rsid w:val="00392646"/>
    <w:rsid w:val="00397129"/>
    <w:rsid w:val="003A4F80"/>
    <w:rsid w:val="003A5C02"/>
    <w:rsid w:val="003B260D"/>
    <w:rsid w:val="003B6421"/>
    <w:rsid w:val="003C3E20"/>
    <w:rsid w:val="003D6AE2"/>
    <w:rsid w:val="003D6BD7"/>
    <w:rsid w:val="003D790B"/>
    <w:rsid w:val="003E07B2"/>
    <w:rsid w:val="003E13BA"/>
    <w:rsid w:val="003E480F"/>
    <w:rsid w:val="003F270B"/>
    <w:rsid w:val="003F2F2D"/>
    <w:rsid w:val="003F4174"/>
    <w:rsid w:val="00401F6E"/>
    <w:rsid w:val="00406FC0"/>
    <w:rsid w:val="00407D1F"/>
    <w:rsid w:val="00416249"/>
    <w:rsid w:val="0042334C"/>
    <w:rsid w:val="00424ABE"/>
    <w:rsid w:val="00432537"/>
    <w:rsid w:val="00435A22"/>
    <w:rsid w:val="00440C43"/>
    <w:rsid w:val="004428BB"/>
    <w:rsid w:val="00445FDA"/>
    <w:rsid w:val="00461596"/>
    <w:rsid w:val="00462299"/>
    <w:rsid w:val="00463070"/>
    <w:rsid w:val="00463865"/>
    <w:rsid w:val="00464224"/>
    <w:rsid w:val="00474F80"/>
    <w:rsid w:val="00475792"/>
    <w:rsid w:val="004757C3"/>
    <w:rsid w:val="00486E2B"/>
    <w:rsid w:val="00490461"/>
    <w:rsid w:val="00493AD5"/>
    <w:rsid w:val="004968E8"/>
    <w:rsid w:val="004A27F8"/>
    <w:rsid w:val="004A3469"/>
    <w:rsid w:val="004A6C9C"/>
    <w:rsid w:val="004A6DDC"/>
    <w:rsid w:val="004A78C8"/>
    <w:rsid w:val="004B0FC1"/>
    <w:rsid w:val="004B18CC"/>
    <w:rsid w:val="004B4062"/>
    <w:rsid w:val="004B6D74"/>
    <w:rsid w:val="004C4281"/>
    <w:rsid w:val="004D3B6C"/>
    <w:rsid w:val="004E47C8"/>
    <w:rsid w:val="004E782C"/>
    <w:rsid w:val="004F094D"/>
    <w:rsid w:val="005000CD"/>
    <w:rsid w:val="00524DCF"/>
    <w:rsid w:val="00532520"/>
    <w:rsid w:val="00533CE7"/>
    <w:rsid w:val="00536E67"/>
    <w:rsid w:val="00543045"/>
    <w:rsid w:val="00543E9C"/>
    <w:rsid w:val="00544F87"/>
    <w:rsid w:val="00544F8B"/>
    <w:rsid w:val="0055120C"/>
    <w:rsid w:val="005552C7"/>
    <w:rsid w:val="005632D2"/>
    <w:rsid w:val="00567900"/>
    <w:rsid w:val="00574576"/>
    <w:rsid w:val="00580800"/>
    <w:rsid w:val="00582794"/>
    <w:rsid w:val="00582C2F"/>
    <w:rsid w:val="00586C20"/>
    <w:rsid w:val="0058764F"/>
    <w:rsid w:val="005908BD"/>
    <w:rsid w:val="005913C8"/>
    <w:rsid w:val="005959BA"/>
    <w:rsid w:val="005A26DE"/>
    <w:rsid w:val="005B3F6F"/>
    <w:rsid w:val="005B4038"/>
    <w:rsid w:val="005B7786"/>
    <w:rsid w:val="005C3896"/>
    <w:rsid w:val="005D76EE"/>
    <w:rsid w:val="005E6FFA"/>
    <w:rsid w:val="005E7BDE"/>
    <w:rsid w:val="00600C09"/>
    <w:rsid w:val="00603BCB"/>
    <w:rsid w:val="00604DD4"/>
    <w:rsid w:val="00606F8B"/>
    <w:rsid w:val="006109DD"/>
    <w:rsid w:val="00610C8F"/>
    <w:rsid w:val="006113EE"/>
    <w:rsid w:val="006127F1"/>
    <w:rsid w:val="00613E65"/>
    <w:rsid w:val="006237AF"/>
    <w:rsid w:val="0062526A"/>
    <w:rsid w:val="00626799"/>
    <w:rsid w:val="00627BDB"/>
    <w:rsid w:val="006349D0"/>
    <w:rsid w:val="0063555A"/>
    <w:rsid w:val="00637512"/>
    <w:rsid w:val="00643813"/>
    <w:rsid w:val="00647863"/>
    <w:rsid w:val="00647AF7"/>
    <w:rsid w:val="00653AF9"/>
    <w:rsid w:val="00656B1F"/>
    <w:rsid w:val="006616A4"/>
    <w:rsid w:val="00661B7A"/>
    <w:rsid w:val="0066783B"/>
    <w:rsid w:val="00670498"/>
    <w:rsid w:val="00670A06"/>
    <w:rsid w:val="00671FA5"/>
    <w:rsid w:val="0067283B"/>
    <w:rsid w:val="006751B6"/>
    <w:rsid w:val="00677FEB"/>
    <w:rsid w:val="00681FAB"/>
    <w:rsid w:val="0069081D"/>
    <w:rsid w:val="00693D28"/>
    <w:rsid w:val="006A018E"/>
    <w:rsid w:val="006A0B17"/>
    <w:rsid w:val="006A263E"/>
    <w:rsid w:val="006A59C2"/>
    <w:rsid w:val="006B0226"/>
    <w:rsid w:val="006B528B"/>
    <w:rsid w:val="006C0908"/>
    <w:rsid w:val="006C1D42"/>
    <w:rsid w:val="006C6B6C"/>
    <w:rsid w:val="006D0EB8"/>
    <w:rsid w:val="006D1B86"/>
    <w:rsid w:val="006E1065"/>
    <w:rsid w:val="006E1322"/>
    <w:rsid w:val="006E5A30"/>
    <w:rsid w:val="006F3F77"/>
    <w:rsid w:val="006F48AA"/>
    <w:rsid w:val="007036A6"/>
    <w:rsid w:val="007121B8"/>
    <w:rsid w:val="00712BB6"/>
    <w:rsid w:val="007139AA"/>
    <w:rsid w:val="00720DD8"/>
    <w:rsid w:val="00722953"/>
    <w:rsid w:val="00722BA1"/>
    <w:rsid w:val="00722BEC"/>
    <w:rsid w:val="00725F2C"/>
    <w:rsid w:val="0073312A"/>
    <w:rsid w:val="00736EB0"/>
    <w:rsid w:val="00741A7F"/>
    <w:rsid w:val="00743D2D"/>
    <w:rsid w:val="0074475F"/>
    <w:rsid w:val="00744D95"/>
    <w:rsid w:val="007626F8"/>
    <w:rsid w:val="00762C65"/>
    <w:rsid w:val="00763EB6"/>
    <w:rsid w:val="00766223"/>
    <w:rsid w:val="00766E0E"/>
    <w:rsid w:val="0077183D"/>
    <w:rsid w:val="00772C0B"/>
    <w:rsid w:val="007735EF"/>
    <w:rsid w:val="007745D5"/>
    <w:rsid w:val="0077690D"/>
    <w:rsid w:val="00781E9B"/>
    <w:rsid w:val="00783581"/>
    <w:rsid w:val="007868F6"/>
    <w:rsid w:val="00791957"/>
    <w:rsid w:val="00792533"/>
    <w:rsid w:val="00792B5D"/>
    <w:rsid w:val="00794BC1"/>
    <w:rsid w:val="00794DA8"/>
    <w:rsid w:val="0079709C"/>
    <w:rsid w:val="007A037C"/>
    <w:rsid w:val="007A12FD"/>
    <w:rsid w:val="007A57A0"/>
    <w:rsid w:val="007B14C8"/>
    <w:rsid w:val="007B38E9"/>
    <w:rsid w:val="007B4184"/>
    <w:rsid w:val="007B5B2A"/>
    <w:rsid w:val="007C1ADE"/>
    <w:rsid w:val="007C3101"/>
    <w:rsid w:val="007C4C1C"/>
    <w:rsid w:val="007C7DA9"/>
    <w:rsid w:val="007D42E2"/>
    <w:rsid w:val="007D5156"/>
    <w:rsid w:val="007D69C7"/>
    <w:rsid w:val="007E254A"/>
    <w:rsid w:val="007E33DE"/>
    <w:rsid w:val="007E61E1"/>
    <w:rsid w:val="007F0510"/>
    <w:rsid w:val="007F0AB7"/>
    <w:rsid w:val="007F3F09"/>
    <w:rsid w:val="00803226"/>
    <w:rsid w:val="00803A31"/>
    <w:rsid w:val="00810F36"/>
    <w:rsid w:val="00810F46"/>
    <w:rsid w:val="00820882"/>
    <w:rsid w:val="00822618"/>
    <w:rsid w:val="008231E2"/>
    <w:rsid w:val="00840F14"/>
    <w:rsid w:val="00850A74"/>
    <w:rsid w:val="008572C3"/>
    <w:rsid w:val="00862497"/>
    <w:rsid w:val="00862942"/>
    <w:rsid w:val="0086636D"/>
    <w:rsid w:val="00871B2D"/>
    <w:rsid w:val="00871DA8"/>
    <w:rsid w:val="00876F90"/>
    <w:rsid w:val="00877FE1"/>
    <w:rsid w:val="00882B14"/>
    <w:rsid w:val="00887220"/>
    <w:rsid w:val="00892787"/>
    <w:rsid w:val="008958FE"/>
    <w:rsid w:val="00895E5A"/>
    <w:rsid w:val="008A275F"/>
    <w:rsid w:val="008A2AC0"/>
    <w:rsid w:val="008A4458"/>
    <w:rsid w:val="008A5B57"/>
    <w:rsid w:val="008A7675"/>
    <w:rsid w:val="008A7A11"/>
    <w:rsid w:val="008B63B2"/>
    <w:rsid w:val="008B73AB"/>
    <w:rsid w:val="008C30F7"/>
    <w:rsid w:val="008C392E"/>
    <w:rsid w:val="008E0D58"/>
    <w:rsid w:val="008E1541"/>
    <w:rsid w:val="008E1A1B"/>
    <w:rsid w:val="008F7828"/>
    <w:rsid w:val="009013E5"/>
    <w:rsid w:val="009024F1"/>
    <w:rsid w:val="00902EB6"/>
    <w:rsid w:val="00907528"/>
    <w:rsid w:val="00915096"/>
    <w:rsid w:val="009151C7"/>
    <w:rsid w:val="009221AD"/>
    <w:rsid w:val="00923962"/>
    <w:rsid w:val="00926683"/>
    <w:rsid w:val="009345E7"/>
    <w:rsid w:val="00935789"/>
    <w:rsid w:val="00935D33"/>
    <w:rsid w:val="009378F8"/>
    <w:rsid w:val="0094530E"/>
    <w:rsid w:val="00945E07"/>
    <w:rsid w:val="00946AD3"/>
    <w:rsid w:val="00947BCE"/>
    <w:rsid w:val="0095119D"/>
    <w:rsid w:val="009514F0"/>
    <w:rsid w:val="00955DAE"/>
    <w:rsid w:val="00957CA5"/>
    <w:rsid w:val="00961830"/>
    <w:rsid w:val="009648E5"/>
    <w:rsid w:val="00970141"/>
    <w:rsid w:val="00971C18"/>
    <w:rsid w:val="00975AEE"/>
    <w:rsid w:val="00976472"/>
    <w:rsid w:val="00982C70"/>
    <w:rsid w:val="00986C16"/>
    <w:rsid w:val="0098713C"/>
    <w:rsid w:val="009873A0"/>
    <w:rsid w:val="00991841"/>
    <w:rsid w:val="0099243E"/>
    <w:rsid w:val="00994672"/>
    <w:rsid w:val="009948C0"/>
    <w:rsid w:val="0099692C"/>
    <w:rsid w:val="009A22FB"/>
    <w:rsid w:val="009A460F"/>
    <w:rsid w:val="009B01AE"/>
    <w:rsid w:val="009B348D"/>
    <w:rsid w:val="009B4F4C"/>
    <w:rsid w:val="009B77FC"/>
    <w:rsid w:val="009B79E1"/>
    <w:rsid w:val="009C0183"/>
    <w:rsid w:val="009C1480"/>
    <w:rsid w:val="009D5825"/>
    <w:rsid w:val="009E6FCD"/>
    <w:rsid w:val="009E74CB"/>
    <w:rsid w:val="009E7609"/>
    <w:rsid w:val="009F3101"/>
    <w:rsid w:val="009F7363"/>
    <w:rsid w:val="00A04970"/>
    <w:rsid w:val="00A105F6"/>
    <w:rsid w:val="00A106A2"/>
    <w:rsid w:val="00A1111E"/>
    <w:rsid w:val="00A13890"/>
    <w:rsid w:val="00A13B72"/>
    <w:rsid w:val="00A15F97"/>
    <w:rsid w:val="00A21CB8"/>
    <w:rsid w:val="00A221A6"/>
    <w:rsid w:val="00A223E9"/>
    <w:rsid w:val="00A31624"/>
    <w:rsid w:val="00A33ACE"/>
    <w:rsid w:val="00A40CDC"/>
    <w:rsid w:val="00A413D4"/>
    <w:rsid w:val="00A425EA"/>
    <w:rsid w:val="00A43D56"/>
    <w:rsid w:val="00A447E9"/>
    <w:rsid w:val="00A5589B"/>
    <w:rsid w:val="00A55924"/>
    <w:rsid w:val="00A5715E"/>
    <w:rsid w:val="00A60F4D"/>
    <w:rsid w:val="00A64090"/>
    <w:rsid w:val="00A6505E"/>
    <w:rsid w:val="00A731F7"/>
    <w:rsid w:val="00A7669D"/>
    <w:rsid w:val="00A76F3A"/>
    <w:rsid w:val="00A83B11"/>
    <w:rsid w:val="00A84818"/>
    <w:rsid w:val="00A85472"/>
    <w:rsid w:val="00A85900"/>
    <w:rsid w:val="00A86058"/>
    <w:rsid w:val="00A86089"/>
    <w:rsid w:val="00A86F77"/>
    <w:rsid w:val="00A91D5E"/>
    <w:rsid w:val="00AA7018"/>
    <w:rsid w:val="00AA7BCE"/>
    <w:rsid w:val="00AB27A1"/>
    <w:rsid w:val="00AC3A35"/>
    <w:rsid w:val="00AC4C65"/>
    <w:rsid w:val="00AC71E2"/>
    <w:rsid w:val="00AE0423"/>
    <w:rsid w:val="00AE0541"/>
    <w:rsid w:val="00AE26B4"/>
    <w:rsid w:val="00AE29F6"/>
    <w:rsid w:val="00AE69CF"/>
    <w:rsid w:val="00AF54DB"/>
    <w:rsid w:val="00B00755"/>
    <w:rsid w:val="00B11AA2"/>
    <w:rsid w:val="00B13BB4"/>
    <w:rsid w:val="00B15983"/>
    <w:rsid w:val="00B170EC"/>
    <w:rsid w:val="00B20145"/>
    <w:rsid w:val="00B20D46"/>
    <w:rsid w:val="00B227B7"/>
    <w:rsid w:val="00B24344"/>
    <w:rsid w:val="00B262FF"/>
    <w:rsid w:val="00B27FAC"/>
    <w:rsid w:val="00B31E1A"/>
    <w:rsid w:val="00B3416A"/>
    <w:rsid w:val="00B35182"/>
    <w:rsid w:val="00B41CEA"/>
    <w:rsid w:val="00B44F9B"/>
    <w:rsid w:val="00B4510B"/>
    <w:rsid w:val="00B471AB"/>
    <w:rsid w:val="00B52758"/>
    <w:rsid w:val="00B54310"/>
    <w:rsid w:val="00B57ABE"/>
    <w:rsid w:val="00B57F78"/>
    <w:rsid w:val="00B638B8"/>
    <w:rsid w:val="00B64666"/>
    <w:rsid w:val="00B66429"/>
    <w:rsid w:val="00B70F9C"/>
    <w:rsid w:val="00B722A2"/>
    <w:rsid w:val="00B77EC8"/>
    <w:rsid w:val="00B820B4"/>
    <w:rsid w:val="00B83582"/>
    <w:rsid w:val="00B94FC5"/>
    <w:rsid w:val="00BA01FD"/>
    <w:rsid w:val="00BA107C"/>
    <w:rsid w:val="00BA5E02"/>
    <w:rsid w:val="00BA676F"/>
    <w:rsid w:val="00BB01F1"/>
    <w:rsid w:val="00BB0EC3"/>
    <w:rsid w:val="00BB19AA"/>
    <w:rsid w:val="00BB35D6"/>
    <w:rsid w:val="00BB39B8"/>
    <w:rsid w:val="00BC7F17"/>
    <w:rsid w:val="00BD5FE2"/>
    <w:rsid w:val="00BD663F"/>
    <w:rsid w:val="00BD6CB6"/>
    <w:rsid w:val="00BD7BC8"/>
    <w:rsid w:val="00BE2B2A"/>
    <w:rsid w:val="00BE34DB"/>
    <w:rsid w:val="00BF6E8B"/>
    <w:rsid w:val="00BF7D0D"/>
    <w:rsid w:val="00C01AB9"/>
    <w:rsid w:val="00C05271"/>
    <w:rsid w:val="00C0557A"/>
    <w:rsid w:val="00C05F49"/>
    <w:rsid w:val="00C06941"/>
    <w:rsid w:val="00C1009B"/>
    <w:rsid w:val="00C100D6"/>
    <w:rsid w:val="00C1396C"/>
    <w:rsid w:val="00C171DB"/>
    <w:rsid w:val="00C17449"/>
    <w:rsid w:val="00C20EF1"/>
    <w:rsid w:val="00C21180"/>
    <w:rsid w:val="00C214C8"/>
    <w:rsid w:val="00C23F48"/>
    <w:rsid w:val="00C25B44"/>
    <w:rsid w:val="00C322AE"/>
    <w:rsid w:val="00C439BD"/>
    <w:rsid w:val="00C45459"/>
    <w:rsid w:val="00C46B12"/>
    <w:rsid w:val="00C54591"/>
    <w:rsid w:val="00C55D0E"/>
    <w:rsid w:val="00C60723"/>
    <w:rsid w:val="00C63421"/>
    <w:rsid w:val="00C656A4"/>
    <w:rsid w:val="00C67C6E"/>
    <w:rsid w:val="00C67EDD"/>
    <w:rsid w:val="00C70EC0"/>
    <w:rsid w:val="00C735F7"/>
    <w:rsid w:val="00C73CED"/>
    <w:rsid w:val="00C74B44"/>
    <w:rsid w:val="00C76029"/>
    <w:rsid w:val="00C76241"/>
    <w:rsid w:val="00C858FB"/>
    <w:rsid w:val="00C8661F"/>
    <w:rsid w:val="00C87978"/>
    <w:rsid w:val="00C9497C"/>
    <w:rsid w:val="00C94A93"/>
    <w:rsid w:val="00C95E1A"/>
    <w:rsid w:val="00C973F8"/>
    <w:rsid w:val="00CA2105"/>
    <w:rsid w:val="00CA37EF"/>
    <w:rsid w:val="00CA71D7"/>
    <w:rsid w:val="00CB1763"/>
    <w:rsid w:val="00CB1873"/>
    <w:rsid w:val="00CB4851"/>
    <w:rsid w:val="00CB5F24"/>
    <w:rsid w:val="00CC007C"/>
    <w:rsid w:val="00CC11C5"/>
    <w:rsid w:val="00CC1C36"/>
    <w:rsid w:val="00CC22C6"/>
    <w:rsid w:val="00CC4B5A"/>
    <w:rsid w:val="00CC7C2D"/>
    <w:rsid w:val="00CD0C6C"/>
    <w:rsid w:val="00CD0F06"/>
    <w:rsid w:val="00CD5B3B"/>
    <w:rsid w:val="00CD7066"/>
    <w:rsid w:val="00CE2882"/>
    <w:rsid w:val="00CE4DB2"/>
    <w:rsid w:val="00CE5EF6"/>
    <w:rsid w:val="00CF4444"/>
    <w:rsid w:val="00CF59EF"/>
    <w:rsid w:val="00CF5C97"/>
    <w:rsid w:val="00CF7326"/>
    <w:rsid w:val="00D00A72"/>
    <w:rsid w:val="00D01366"/>
    <w:rsid w:val="00D06BFC"/>
    <w:rsid w:val="00D06E9C"/>
    <w:rsid w:val="00D0750F"/>
    <w:rsid w:val="00D10037"/>
    <w:rsid w:val="00D12625"/>
    <w:rsid w:val="00D1549A"/>
    <w:rsid w:val="00D15A7D"/>
    <w:rsid w:val="00D177A2"/>
    <w:rsid w:val="00D204CC"/>
    <w:rsid w:val="00D229C2"/>
    <w:rsid w:val="00D24055"/>
    <w:rsid w:val="00D2424E"/>
    <w:rsid w:val="00D25D9F"/>
    <w:rsid w:val="00D31B4D"/>
    <w:rsid w:val="00D32D07"/>
    <w:rsid w:val="00D379DB"/>
    <w:rsid w:val="00D37F66"/>
    <w:rsid w:val="00D418F4"/>
    <w:rsid w:val="00D43D5C"/>
    <w:rsid w:val="00D4422C"/>
    <w:rsid w:val="00D45184"/>
    <w:rsid w:val="00D5398B"/>
    <w:rsid w:val="00D6122A"/>
    <w:rsid w:val="00D65D4F"/>
    <w:rsid w:val="00D66333"/>
    <w:rsid w:val="00D7277A"/>
    <w:rsid w:val="00D81E4F"/>
    <w:rsid w:val="00D86F1D"/>
    <w:rsid w:val="00DA04C8"/>
    <w:rsid w:val="00DA0923"/>
    <w:rsid w:val="00DA5771"/>
    <w:rsid w:val="00DB0C75"/>
    <w:rsid w:val="00DB14CB"/>
    <w:rsid w:val="00DB1F14"/>
    <w:rsid w:val="00DB6BE9"/>
    <w:rsid w:val="00DC07DE"/>
    <w:rsid w:val="00DC13E8"/>
    <w:rsid w:val="00DC14D0"/>
    <w:rsid w:val="00DC536B"/>
    <w:rsid w:val="00DC548C"/>
    <w:rsid w:val="00DC74C0"/>
    <w:rsid w:val="00DD0787"/>
    <w:rsid w:val="00DD1C54"/>
    <w:rsid w:val="00DE3285"/>
    <w:rsid w:val="00DE4B42"/>
    <w:rsid w:val="00DE54B4"/>
    <w:rsid w:val="00DE6C41"/>
    <w:rsid w:val="00DE7815"/>
    <w:rsid w:val="00DF0687"/>
    <w:rsid w:val="00DF1C81"/>
    <w:rsid w:val="00DF4AAF"/>
    <w:rsid w:val="00E02AD1"/>
    <w:rsid w:val="00E077D0"/>
    <w:rsid w:val="00E105CA"/>
    <w:rsid w:val="00E15036"/>
    <w:rsid w:val="00E15B4E"/>
    <w:rsid w:val="00E15E64"/>
    <w:rsid w:val="00E16151"/>
    <w:rsid w:val="00E205CE"/>
    <w:rsid w:val="00E22248"/>
    <w:rsid w:val="00E34824"/>
    <w:rsid w:val="00E34C05"/>
    <w:rsid w:val="00E35F3E"/>
    <w:rsid w:val="00E41218"/>
    <w:rsid w:val="00E41B26"/>
    <w:rsid w:val="00E43343"/>
    <w:rsid w:val="00E4386E"/>
    <w:rsid w:val="00E4635D"/>
    <w:rsid w:val="00E562FC"/>
    <w:rsid w:val="00E65C5C"/>
    <w:rsid w:val="00E720D7"/>
    <w:rsid w:val="00E7383E"/>
    <w:rsid w:val="00E74F91"/>
    <w:rsid w:val="00E756E8"/>
    <w:rsid w:val="00E80D5E"/>
    <w:rsid w:val="00E9099A"/>
    <w:rsid w:val="00EA0F6C"/>
    <w:rsid w:val="00EB2910"/>
    <w:rsid w:val="00EB2D5F"/>
    <w:rsid w:val="00EB4B60"/>
    <w:rsid w:val="00EB5A97"/>
    <w:rsid w:val="00EB7940"/>
    <w:rsid w:val="00EC0066"/>
    <w:rsid w:val="00EC27CC"/>
    <w:rsid w:val="00ED34B7"/>
    <w:rsid w:val="00ED56C3"/>
    <w:rsid w:val="00EE32F2"/>
    <w:rsid w:val="00EE3583"/>
    <w:rsid w:val="00EF0C49"/>
    <w:rsid w:val="00EF73C3"/>
    <w:rsid w:val="00F0015D"/>
    <w:rsid w:val="00F01888"/>
    <w:rsid w:val="00F01CF6"/>
    <w:rsid w:val="00F020F9"/>
    <w:rsid w:val="00F02218"/>
    <w:rsid w:val="00F04282"/>
    <w:rsid w:val="00F05AC8"/>
    <w:rsid w:val="00F070CB"/>
    <w:rsid w:val="00F07683"/>
    <w:rsid w:val="00F12DB1"/>
    <w:rsid w:val="00F13165"/>
    <w:rsid w:val="00F2179A"/>
    <w:rsid w:val="00F21FA6"/>
    <w:rsid w:val="00F244F8"/>
    <w:rsid w:val="00F257AB"/>
    <w:rsid w:val="00F34E4D"/>
    <w:rsid w:val="00F3568F"/>
    <w:rsid w:val="00F41093"/>
    <w:rsid w:val="00F45DCE"/>
    <w:rsid w:val="00F47C8C"/>
    <w:rsid w:val="00F47DAE"/>
    <w:rsid w:val="00F51D16"/>
    <w:rsid w:val="00F53A71"/>
    <w:rsid w:val="00F56471"/>
    <w:rsid w:val="00F5702D"/>
    <w:rsid w:val="00F60E69"/>
    <w:rsid w:val="00F64AE0"/>
    <w:rsid w:val="00F6716D"/>
    <w:rsid w:val="00F67D20"/>
    <w:rsid w:val="00F71BDA"/>
    <w:rsid w:val="00F74528"/>
    <w:rsid w:val="00F82E7A"/>
    <w:rsid w:val="00F83F12"/>
    <w:rsid w:val="00F84367"/>
    <w:rsid w:val="00F9192A"/>
    <w:rsid w:val="00F94617"/>
    <w:rsid w:val="00FA0E3D"/>
    <w:rsid w:val="00FA1A44"/>
    <w:rsid w:val="00FA20B2"/>
    <w:rsid w:val="00FA5A99"/>
    <w:rsid w:val="00FA6BCA"/>
    <w:rsid w:val="00FB1607"/>
    <w:rsid w:val="00FB6D27"/>
    <w:rsid w:val="00FB7612"/>
    <w:rsid w:val="00FC22D0"/>
    <w:rsid w:val="00FC272A"/>
    <w:rsid w:val="00FC3401"/>
    <w:rsid w:val="00FC4284"/>
    <w:rsid w:val="00FD2C9F"/>
    <w:rsid w:val="00FD6883"/>
    <w:rsid w:val="00FE0FDA"/>
    <w:rsid w:val="00FE2D7A"/>
    <w:rsid w:val="00FE2F2C"/>
    <w:rsid w:val="00FE437E"/>
    <w:rsid w:val="00FF111C"/>
    <w:rsid w:val="00FF26B8"/>
    <w:rsid w:val="00FF4490"/>
    <w:rsid w:val="00FF554B"/>
    <w:rsid w:val="00FF5748"/>
    <w:rsid w:val="00FF5A13"/>
    <w:rsid w:val="00FF63E3"/>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99918"/>
  <w14:defaultImageDpi w14:val="0"/>
  <w15:docId w15:val="{42CC431D-2D17-46B2-86BD-197B60C2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
    <w:locked/>
    <w:rsid w:val="00100F36"/>
    <w:rPr>
      <w:rFonts w:ascii="Calibri" w:eastAsia="MS Gothic" w:hAnsi="Calibri" w:cs="Times New Roman"/>
      <w:b/>
      <w:i/>
      <w:sz w:val="28"/>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basedOn w:val="DefaultParagraphFont"/>
    <w:uiPriority w:val="20"/>
    <w:qFormat/>
    <w:rsid w:val="00AE26B4"/>
    <w:rPr>
      <w:rFonts w:cs="Times New Roman"/>
      <w:i/>
    </w:rPr>
  </w:style>
  <w:style w:type="character" w:customStyle="1" w:styleId="IntenseEmphasis1">
    <w:name w:val="Intense Emphasis1"/>
    <w:uiPriority w:val="21"/>
    <w:qFormat/>
    <w:rsid w:val="00AE26B4"/>
    <w:rPr>
      <w:b/>
      <w:i/>
      <w:color w:val="4F81BD"/>
    </w:rPr>
  </w:style>
  <w:style w:type="character" w:styleId="Strong">
    <w:name w:val="Strong"/>
    <w:basedOn w:val="DefaultParagraphFont"/>
    <w:uiPriority w:val="22"/>
    <w:qFormat/>
    <w:rsid w:val="00AE26B4"/>
    <w:rPr>
      <w:rFonts w:cs="Times New Roman"/>
      <w:b/>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locked/>
    <w:rsid w:val="00AE26B4"/>
    <w:rPr>
      <w:rFonts w:ascii="Trebuchet MS" w:hAnsi="Trebuchet MS"/>
      <w:i/>
      <w:color w:val="000000"/>
      <w:sz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10"/>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character" w:styleId="Hyperlink">
    <w:name w:val="Hyperlink"/>
    <w:basedOn w:val="DefaultParagraphFont"/>
    <w:uiPriority w:val="99"/>
    <w:unhideWhenUsed/>
    <w:rsid w:val="00023330"/>
    <w:rPr>
      <w:rFonts w:cs="Times New Roman"/>
      <w:color w:val="0000FF" w:themeColor="hyperlink"/>
      <w:u w:val="single"/>
    </w:rPr>
  </w:style>
  <w:style w:type="paragraph" w:styleId="FootnoteText">
    <w:name w:val="footnote text"/>
    <w:basedOn w:val="Normal"/>
    <w:link w:val="FootnoteTextChar"/>
    <w:uiPriority w:val="99"/>
    <w:rsid w:val="000C29D4"/>
    <w:pPr>
      <w:spacing w:after="0" w:line="240" w:lineRule="auto"/>
      <w:ind w:left="0"/>
      <w:jc w:val="left"/>
    </w:pPr>
    <w:rPr>
      <w:rFonts w:ascii="Times New Roman" w:hAnsi="Times New Roman"/>
      <w:sz w:val="20"/>
      <w:szCs w:val="20"/>
      <w:lang w:val="ro-RO" w:eastAsia="ro-RO"/>
    </w:rPr>
  </w:style>
  <w:style w:type="character" w:customStyle="1" w:styleId="FootnoteTextChar">
    <w:name w:val="Footnote Text Char"/>
    <w:basedOn w:val="DefaultParagraphFont"/>
    <w:link w:val="FootnoteText"/>
    <w:uiPriority w:val="99"/>
    <w:locked/>
    <w:rsid w:val="000C29D4"/>
    <w:rPr>
      <w:rFonts w:ascii="Times New Roman" w:hAnsi="Times New Roman" w:cs="Times New Roman"/>
      <w:lang w:val="ro-RO" w:eastAsia="ro-RO"/>
    </w:rPr>
  </w:style>
  <w:style w:type="character" w:styleId="FootnoteReference">
    <w:name w:val="footnote reference"/>
    <w:basedOn w:val="DefaultParagraphFont"/>
    <w:uiPriority w:val="99"/>
    <w:rsid w:val="00B57F78"/>
    <w:rPr>
      <w:rFonts w:ascii="Trebuchet MS" w:hAnsi="Trebuchet MS" w:cs="Times New Roman"/>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C1"/>
    <w:pPr>
      <w:spacing w:after="0" w:line="240" w:lineRule="auto"/>
      <w:ind w:left="720"/>
      <w:jc w:val="left"/>
    </w:pPr>
    <w:rPr>
      <w:rFonts w:ascii="Calibri" w:hAnsi="Calibri"/>
    </w:rPr>
  </w:style>
  <w:style w:type="table" w:customStyle="1" w:styleId="TableGrid1">
    <w:name w:val="Table Grid1"/>
    <w:basedOn w:val="TableNormal"/>
    <w:next w:val="TableGrid"/>
    <w:uiPriority w:val="59"/>
    <w:rsid w:val="006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7C3"/>
    <w:pPr>
      <w:spacing w:before="100" w:beforeAutospacing="1" w:after="100" w:afterAutospacing="1" w:line="240" w:lineRule="auto"/>
      <w:ind w:left="0"/>
      <w:jc w:val="left"/>
    </w:pPr>
    <w:rPr>
      <w:rFonts w:ascii="Times New Roman" w:hAnsi="Times New Roman"/>
      <w:sz w:val="24"/>
      <w:szCs w:val="24"/>
    </w:rPr>
  </w:style>
  <w:style w:type="character" w:customStyle="1" w:styleId="rvts11">
    <w:name w:val="rvts11"/>
    <w:basedOn w:val="DefaultParagraphFont"/>
    <w:rsid w:val="004757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40291">
      <w:marLeft w:val="0"/>
      <w:marRight w:val="0"/>
      <w:marTop w:val="0"/>
      <w:marBottom w:val="0"/>
      <w:divBdr>
        <w:top w:val="none" w:sz="0" w:space="0" w:color="auto"/>
        <w:left w:val="none" w:sz="0" w:space="0" w:color="auto"/>
        <w:bottom w:val="none" w:sz="0" w:space="0" w:color="auto"/>
        <w:right w:val="none" w:sz="0" w:space="0" w:color="auto"/>
      </w:divBdr>
    </w:div>
    <w:div w:id="766540292">
      <w:marLeft w:val="0"/>
      <w:marRight w:val="0"/>
      <w:marTop w:val="0"/>
      <w:marBottom w:val="0"/>
      <w:divBdr>
        <w:top w:val="none" w:sz="0" w:space="0" w:color="auto"/>
        <w:left w:val="none" w:sz="0" w:space="0" w:color="auto"/>
        <w:bottom w:val="none" w:sz="0" w:space="0" w:color="auto"/>
        <w:right w:val="none" w:sz="0" w:space="0" w:color="auto"/>
      </w:divBdr>
    </w:div>
    <w:div w:id="766540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1ACD-37E7-499C-87F7-D5FAE95D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Anca Colfescu</cp:lastModifiedBy>
  <cp:revision>6</cp:revision>
  <cp:lastPrinted>2022-12-21T09:24:00Z</cp:lastPrinted>
  <dcterms:created xsi:type="dcterms:W3CDTF">2023-04-10T06:12:00Z</dcterms:created>
  <dcterms:modified xsi:type="dcterms:W3CDTF">2023-05-04T07:32:00Z</dcterms:modified>
</cp:coreProperties>
</file>