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D" w:rsidRPr="0002256C" w:rsidRDefault="009B348D" w:rsidP="009B348D">
      <w:pPr>
        <w:ind w:left="0"/>
        <w:jc w:val="right"/>
        <w:rPr>
          <w:lang w:val="ro-RO"/>
        </w:rPr>
      </w:pP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</w:p>
    <w:p w:rsidR="007D6334" w:rsidRDefault="007D6334" w:rsidP="00C947B0">
      <w:pPr>
        <w:spacing w:after="0" w:line="240" w:lineRule="auto"/>
        <w:ind w:left="0"/>
        <w:rPr>
          <w:lang w:val="ro-RO"/>
        </w:rPr>
      </w:pPr>
    </w:p>
    <w:p w:rsidR="007D6334" w:rsidRPr="0095119D" w:rsidRDefault="007D6334" w:rsidP="007D6334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D6334" w:rsidRDefault="007D6334" w:rsidP="007D6334">
      <w:pPr>
        <w:spacing w:after="0" w:line="240" w:lineRule="auto"/>
        <w:ind w:left="-1276" w:right="418"/>
        <w:jc w:val="right"/>
        <w:rPr>
          <w:rFonts w:eastAsia="Times New Roman"/>
          <w:lang w:val="ro-RO" w:eastAsia="ro-RO"/>
        </w:rPr>
      </w:pPr>
    </w:p>
    <w:p w:rsidR="009D3014" w:rsidRPr="00A106A2" w:rsidRDefault="009D3014" w:rsidP="007D6334">
      <w:pPr>
        <w:spacing w:after="0" w:line="240" w:lineRule="auto"/>
        <w:ind w:left="-1276" w:right="418"/>
        <w:jc w:val="right"/>
        <w:rPr>
          <w:rFonts w:eastAsia="Times New Roman"/>
          <w:lang w:val="ro-RO" w:eastAsia="ro-RO"/>
        </w:rPr>
      </w:pP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bookmarkStart w:id="0" w:name="_Hlk132034070"/>
      <w:proofErr w:type="spellStart"/>
      <w:r w:rsidRPr="009D3014">
        <w:rPr>
          <w:rFonts w:eastAsia="Calibri"/>
          <w:lang w:val="ro-RO"/>
        </w:rPr>
        <w:t>Constituţia</w:t>
      </w:r>
      <w:proofErr w:type="spellEnd"/>
      <w:r w:rsidRPr="009D3014">
        <w:rPr>
          <w:rFonts w:eastAsia="Calibri"/>
          <w:lang w:val="ro-RO"/>
        </w:rPr>
        <w:t xml:space="preserve"> României, republicată;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Titlul I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II ale </w:t>
      </w:r>
      <w:proofErr w:type="spellStart"/>
      <w:r w:rsidRPr="009D3014">
        <w:rPr>
          <w:rFonts w:eastAsia="Calibri"/>
          <w:lang w:val="ro-RO"/>
        </w:rPr>
        <w:t>părţii</w:t>
      </w:r>
      <w:proofErr w:type="spellEnd"/>
      <w:r w:rsidRPr="009D3014">
        <w:rPr>
          <w:rFonts w:eastAsia="Calibri"/>
          <w:lang w:val="ro-RO"/>
        </w:rPr>
        <w:t xml:space="preserve"> a VI -a din </w:t>
      </w:r>
      <w:proofErr w:type="spellStart"/>
      <w:r w:rsidRPr="009D3014">
        <w:rPr>
          <w:rFonts w:eastAsia="Calibri"/>
          <w:lang w:val="ro-RO"/>
        </w:rPr>
        <w:t>Ordonanţa</w:t>
      </w:r>
      <w:proofErr w:type="spellEnd"/>
      <w:r w:rsidRPr="009D3014">
        <w:rPr>
          <w:rFonts w:eastAsia="Calibri"/>
          <w:lang w:val="ro-RO"/>
        </w:rPr>
        <w:t xml:space="preserve"> de </w:t>
      </w:r>
      <w:proofErr w:type="spellStart"/>
      <w:r w:rsidRPr="009D3014">
        <w:rPr>
          <w:rFonts w:eastAsia="Calibri"/>
          <w:lang w:val="ro-RO"/>
        </w:rPr>
        <w:t>urgenţă</w:t>
      </w:r>
      <w:proofErr w:type="spellEnd"/>
      <w:r w:rsidRPr="009D3014">
        <w:rPr>
          <w:rFonts w:eastAsia="Calibri"/>
          <w:lang w:val="ro-RO"/>
        </w:rPr>
        <w:t xml:space="preserve"> a Guvernului nr. 57/2019,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proofErr w:type="spellStart"/>
      <w:r w:rsidRPr="009D3014">
        <w:rPr>
          <w:rFonts w:eastAsia="Calibri"/>
          <w:lang w:val="ro-RO"/>
        </w:rPr>
        <w:t>Ordonanţa</w:t>
      </w:r>
      <w:proofErr w:type="spellEnd"/>
      <w:r w:rsidRPr="009D3014">
        <w:rPr>
          <w:rFonts w:eastAsia="Calibri"/>
          <w:lang w:val="ro-RO"/>
        </w:rPr>
        <w:t xml:space="preserve"> Guvernului  nr. 137/2000 privind prevenirea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sancţionarea</w:t>
      </w:r>
      <w:proofErr w:type="spellEnd"/>
      <w:r w:rsidRPr="009D3014">
        <w:rPr>
          <w:rFonts w:eastAsia="Calibri"/>
          <w:lang w:val="ro-RO"/>
        </w:rPr>
        <w:t xml:space="preserve"> tuturor formelor de discriminare, republicată,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7D6334" w:rsidRPr="0095424E" w:rsidRDefault="009D3014" w:rsidP="0095424E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Legea nr. 202/2002 privind egalitatea de </w:t>
      </w:r>
      <w:proofErr w:type="spellStart"/>
      <w:r w:rsidRPr="009D3014">
        <w:rPr>
          <w:rFonts w:eastAsia="Calibri"/>
          <w:lang w:val="ro-RO"/>
        </w:rPr>
        <w:t>şanse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de tratament între femei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bărbaţi</w:t>
      </w:r>
      <w:proofErr w:type="spellEnd"/>
      <w:r w:rsidRPr="009D3014">
        <w:rPr>
          <w:rFonts w:eastAsia="Calibri"/>
          <w:lang w:val="ro-RO"/>
        </w:rPr>
        <w:t xml:space="preserve">, republicată,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bookmarkEnd w:id="0"/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Legea nr. 318/2015 pentru </w:t>
      </w:r>
      <w:proofErr w:type="spellStart"/>
      <w:r w:rsidRPr="009D3014">
        <w:rPr>
          <w:rFonts w:eastAsia="Calibri"/>
          <w:lang w:val="ro-RO"/>
        </w:rPr>
        <w:t>înfiinţarea</w:t>
      </w:r>
      <w:proofErr w:type="spellEnd"/>
      <w:r w:rsidRPr="009D3014">
        <w:rPr>
          <w:rFonts w:eastAsia="Calibri"/>
          <w:lang w:val="ro-RO"/>
        </w:rPr>
        <w:t xml:space="preserve">, organizarea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funcţionarea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Agenţiei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Naţionale</w:t>
      </w:r>
      <w:proofErr w:type="spellEnd"/>
      <w:r w:rsidRPr="009D3014">
        <w:rPr>
          <w:rFonts w:eastAsia="Calibri"/>
          <w:lang w:val="ro-RO"/>
        </w:rPr>
        <w:t xml:space="preserve"> de Administrare a Bunurilor Indisponibilizate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pentru modificarea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completarea unor acte normative</w:t>
      </w:r>
      <w:r>
        <w:rPr>
          <w:rFonts w:eastAsia="Calibri"/>
          <w:lang w:val="ro-RO"/>
        </w:rPr>
        <w:t xml:space="preserve">, cu modificările </w:t>
      </w:r>
      <w:proofErr w:type="spellStart"/>
      <w:r>
        <w:rPr>
          <w:rFonts w:eastAsia="Calibri"/>
          <w:lang w:val="ro-RO"/>
        </w:rPr>
        <w:t>şi</w:t>
      </w:r>
      <w:proofErr w:type="spellEnd"/>
      <w:r>
        <w:rPr>
          <w:rFonts w:eastAsia="Calibri"/>
          <w:lang w:val="ro-RO"/>
        </w:rPr>
        <w:t xml:space="preserve"> completările ulterioare</w:t>
      </w:r>
      <w:r w:rsidRPr="009D3014">
        <w:rPr>
          <w:rFonts w:eastAsia="Calibri"/>
          <w:lang w:val="ro-RO"/>
        </w:rPr>
        <w:t>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funcţionare</w:t>
      </w:r>
      <w:proofErr w:type="spellEnd"/>
      <w:r w:rsidRPr="009D3014">
        <w:rPr>
          <w:rFonts w:eastAsia="Calibri"/>
          <w:lang w:val="ro-RO"/>
        </w:rPr>
        <w:t xml:space="preserve"> a </w:t>
      </w:r>
      <w:proofErr w:type="spellStart"/>
      <w:r w:rsidRPr="009D3014">
        <w:rPr>
          <w:rFonts w:eastAsia="Calibri"/>
          <w:lang w:val="ro-RO"/>
        </w:rPr>
        <w:t>Agenţiei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Naţionale</w:t>
      </w:r>
      <w:proofErr w:type="spellEnd"/>
      <w:r w:rsidRPr="009D3014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a modului de utilizare a acestuia, precum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funcţionarea</w:t>
      </w:r>
      <w:proofErr w:type="spellEnd"/>
      <w:r w:rsidRPr="009D3014">
        <w:rPr>
          <w:rFonts w:eastAsia="Calibri"/>
          <w:lang w:val="ro-RO"/>
        </w:rPr>
        <w:t xml:space="preserve"> Ministerului </w:t>
      </w:r>
      <w:proofErr w:type="spellStart"/>
      <w:r w:rsidRPr="009D3014">
        <w:rPr>
          <w:rFonts w:eastAsia="Calibri"/>
          <w:lang w:val="ro-RO"/>
        </w:rPr>
        <w:t>Justiţiei</w:t>
      </w:r>
      <w:proofErr w:type="spellEnd"/>
      <w:r>
        <w:rPr>
          <w:rFonts w:eastAsia="Calibri"/>
          <w:lang w:val="ro-RO"/>
        </w:rPr>
        <w:t>, cu completările ulterioare</w:t>
      </w:r>
      <w:r w:rsidRPr="009D3014">
        <w:rPr>
          <w:rFonts w:eastAsia="Calibri"/>
          <w:lang w:val="ro-RO"/>
        </w:rPr>
        <w:t>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Legea nr.500/2002 privind </w:t>
      </w:r>
      <w:proofErr w:type="spellStart"/>
      <w:r w:rsidRPr="009D3014">
        <w:rPr>
          <w:rFonts w:eastAsia="Calibri"/>
          <w:lang w:val="ro-RO"/>
        </w:rPr>
        <w:t>finanţele</w:t>
      </w:r>
      <w:proofErr w:type="spellEnd"/>
      <w:r w:rsidRPr="009D3014">
        <w:rPr>
          <w:rFonts w:eastAsia="Calibri"/>
          <w:lang w:val="ro-RO"/>
        </w:rPr>
        <w:t xml:space="preserve"> publice,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Legea nr. 82/1991 - Legea </w:t>
      </w:r>
      <w:proofErr w:type="spellStart"/>
      <w:r w:rsidRPr="009D3014">
        <w:rPr>
          <w:rFonts w:eastAsia="Calibri"/>
          <w:lang w:val="ro-RO"/>
        </w:rPr>
        <w:t>contabilităţii</w:t>
      </w:r>
      <w:proofErr w:type="spellEnd"/>
      <w:r w:rsidRPr="009D3014">
        <w:rPr>
          <w:rFonts w:eastAsia="Calibri"/>
          <w:lang w:val="ro-RO"/>
        </w:rPr>
        <w:t xml:space="preserve">, republicată,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Ordinul ministrului </w:t>
      </w:r>
      <w:proofErr w:type="spellStart"/>
      <w:r w:rsidRPr="009D3014">
        <w:rPr>
          <w:rFonts w:eastAsia="Calibri"/>
          <w:lang w:val="ro-RO"/>
        </w:rPr>
        <w:t>finanţelor</w:t>
      </w:r>
      <w:proofErr w:type="spellEnd"/>
      <w:r w:rsidRPr="009D3014">
        <w:rPr>
          <w:rFonts w:eastAsia="Calibri"/>
          <w:lang w:val="ro-RO"/>
        </w:rPr>
        <w:t xml:space="preserve"> publice nr.1917/2005 pentru aprobarea Normelor metodologice privind organizarea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conducerea </w:t>
      </w:r>
      <w:proofErr w:type="spellStart"/>
      <w:r w:rsidRPr="009D3014">
        <w:rPr>
          <w:rFonts w:eastAsia="Calibri"/>
          <w:lang w:val="ro-RO"/>
        </w:rPr>
        <w:t>contabilităţii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instituţiilor</w:t>
      </w:r>
      <w:proofErr w:type="spellEnd"/>
      <w:r w:rsidRPr="009D3014">
        <w:rPr>
          <w:rFonts w:eastAsia="Calibri"/>
          <w:lang w:val="ro-RO"/>
        </w:rPr>
        <w:t xml:space="preserve"> publice, Planul de conturi pentru </w:t>
      </w:r>
      <w:proofErr w:type="spellStart"/>
      <w:r w:rsidRPr="009D3014">
        <w:rPr>
          <w:rFonts w:eastAsia="Calibri"/>
          <w:lang w:val="ro-RO"/>
        </w:rPr>
        <w:t>instituţiile</w:t>
      </w:r>
      <w:proofErr w:type="spellEnd"/>
      <w:r w:rsidRPr="009D3014">
        <w:rPr>
          <w:rFonts w:eastAsia="Calibri"/>
          <w:lang w:val="ro-RO"/>
        </w:rPr>
        <w:t xml:space="preserve"> publice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instrucţiunile</w:t>
      </w:r>
      <w:proofErr w:type="spellEnd"/>
      <w:r w:rsidRPr="009D3014">
        <w:rPr>
          <w:rFonts w:eastAsia="Calibri"/>
          <w:lang w:val="ro-RO"/>
        </w:rPr>
        <w:t xml:space="preserve"> de aplicare a acestuia,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Ordinul nr. 2861/2009 al ministrului </w:t>
      </w:r>
      <w:proofErr w:type="spellStart"/>
      <w:r w:rsidRPr="009D3014">
        <w:rPr>
          <w:rFonts w:eastAsia="Calibri"/>
          <w:lang w:val="ro-RO"/>
        </w:rPr>
        <w:t>finanţelor</w:t>
      </w:r>
      <w:proofErr w:type="spellEnd"/>
      <w:r w:rsidRPr="009D3014">
        <w:rPr>
          <w:rFonts w:eastAsia="Calibri"/>
          <w:lang w:val="ro-RO"/>
        </w:rPr>
        <w:t xml:space="preserve"> publice pentru aprobarea Normelor privind organizarea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efectuarea inventarierii elementelor de natura activelor, datoriilor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capitalurilor proprii ; 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Ordinul ministrului </w:t>
      </w:r>
      <w:proofErr w:type="spellStart"/>
      <w:r w:rsidRPr="009D3014">
        <w:rPr>
          <w:rFonts w:eastAsia="Calibri"/>
          <w:lang w:val="ro-RO"/>
        </w:rPr>
        <w:t>finanţelor</w:t>
      </w:r>
      <w:proofErr w:type="spellEnd"/>
      <w:r w:rsidRPr="009D3014">
        <w:rPr>
          <w:rFonts w:eastAsia="Calibri"/>
          <w:lang w:val="ro-RO"/>
        </w:rPr>
        <w:t xml:space="preserve"> publice nr.1792/2002 pentru aprobarea Normelor metodologice privind angajarea, lichidarea, </w:t>
      </w:r>
      <w:proofErr w:type="spellStart"/>
      <w:r w:rsidRPr="009D3014">
        <w:rPr>
          <w:rFonts w:eastAsia="Calibri"/>
          <w:lang w:val="ro-RO"/>
        </w:rPr>
        <w:t>ordonanţarea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plata cheltuielilor </w:t>
      </w:r>
      <w:proofErr w:type="spellStart"/>
      <w:r w:rsidRPr="009D3014">
        <w:rPr>
          <w:rFonts w:eastAsia="Calibri"/>
          <w:lang w:val="ro-RO"/>
        </w:rPr>
        <w:lastRenderedPageBreak/>
        <w:t>instituţiilor</w:t>
      </w:r>
      <w:proofErr w:type="spellEnd"/>
      <w:r w:rsidRPr="009D3014">
        <w:rPr>
          <w:rFonts w:eastAsia="Calibri"/>
          <w:lang w:val="ro-RO"/>
        </w:rPr>
        <w:t xml:space="preserve"> publice, precum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organizarea, </w:t>
      </w:r>
      <w:proofErr w:type="spellStart"/>
      <w:r w:rsidRPr="009D3014">
        <w:rPr>
          <w:rFonts w:eastAsia="Calibri"/>
          <w:lang w:val="ro-RO"/>
        </w:rPr>
        <w:t>evidenţa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raportarea angajamentelor bugetare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legale,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Legea nr.72/2013 privind măsurile pentru combaterea întârzierii în executarea </w:t>
      </w:r>
      <w:proofErr w:type="spellStart"/>
      <w:r w:rsidRPr="009D3014">
        <w:rPr>
          <w:rFonts w:eastAsia="Calibri"/>
          <w:lang w:val="ro-RO"/>
        </w:rPr>
        <w:t>obligaţiilor</w:t>
      </w:r>
      <w:proofErr w:type="spellEnd"/>
      <w:r w:rsidRPr="009D3014">
        <w:rPr>
          <w:rFonts w:eastAsia="Calibri"/>
          <w:lang w:val="ro-RO"/>
        </w:rPr>
        <w:t xml:space="preserve"> de plată a unor sume de bani rezultând din contracte încheiate între </w:t>
      </w:r>
      <w:proofErr w:type="spellStart"/>
      <w:r w:rsidRPr="009D3014">
        <w:rPr>
          <w:rFonts w:eastAsia="Calibri"/>
          <w:lang w:val="ro-RO"/>
        </w:rPr>
        <w:t>profesionişti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între </w:t>
      </w:r>
      <w:proofErr w:type="spellStart"/>
      <w:r w:rsidRPr="009D3014">
        <w:rPr>
          <w:rFonts w:eastAsia="Calibri"/>
          <w:lang w:val="ro-RO"/>
        </w:rPr>
        <w:t>aceştia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autorităţi</w:t>
      </w:r>
      <w:proofErr w:type="spellEnd"/>
      <w:r w:rsidRPr="009D3014">
        <w:rPr>
          <w:rFonts w:eastAsia="Calibri"/>
          <w:lang w:val="ro-RO"/>
        </w:rPr>
        <w:t xml:space="preserve"> contractante,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9D3014" w:rsidRPr="009D3014" w:rsidRDefault="009D3014" w:rsidP="009D3014">
      <w:pPr>
        <w:numPr>
          <w:ilvl w:val="0"/>
          <w:numId w:val="14"/>
        </w:numPr>
        <w:spacing w:after="0" w:line="360" w:lineRule="auto"/>
        <w:jc w:val="left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Ordinul nr. 517/2016 din 13 aprilie 2016 pentru aprobarea de proceduri aferente unor module care fac parte din procedura de </w:t>
      </w:r>
      <w:proofErr w:type="spellStart"/>
      <w:r w:rsidRPr="009D3014">
        <w:rPr>
          <w:rFonts w:eastAsia="Calibri"/>
          <w:lang w:val="ro-RO"/>
        </w:rPr>
        <w:t>funcţionare</w:t>
      </w:r>
      <w:proofErr w:type="spellEnd"/>
      <w:r w:rsidRPr="009D3014">
        <w:rPr>
          <w:rFonts w:eastAsia="Calibri"/>
          <w:lang w:val="ro-RO"/>
        </w:rPr>
        <w:t xml:space="preserve"> a sistemului </w:t>
      </w:r>
      <w:proofErr w:type="spellStart"/>
      <w:r w:rsidRPr="009D3014">
        <w:rPr>
          <w:rFonts w:eastAsia="Calibri"/>
          <w:lang w:val="ro-RO"/>
        </w:rPr>
        <w:t>naţional</w:t>
      </w:r>
      <w:proofErr w:type="spellEnd"/>
      <w:r w:rsidRPr="009D3014">
        <w:rPr>
          <w:rFonts w:eastAsia="Calibri"/>
          <w:lang w:val="ro-RO"/>
        </w:rPr>
        <w:t xml:space="preserve"> de raportare - </w:t>
      </w:r>
      <w:proofErr w:type="spellStart"/>
      <w:r w:rsidRPr="009D3014">
        <w:rPr>
          <w:rFonts w:eastAsia="Calibri"/>
          <w:lang w:val="ro-RO"/>
        </w:rPr>
        <w:t>Forexebug</w:t>
      </w:r>
      <w:proofErr w:type="spellEnd"/>
    </w:p>
    <w:p w:rsidR="009D3014" w:rsidRDefault="009D3014" w:rsidP="009D3014">
      <w:pPr>
        <w:spacing w:after="0" w:line="360" w:lineRule="auto"/>
        <w:ind w:left="0"/>
        <w:rPr>
          <w:rFonts w:eastAsia="Calibri"/>
          <w:b/>
          <w:lang w:val="ro-RO"/>
        </w:rPr>
      </w:pPr>
      <w:r w:rsidRPr="009D3014">
        <w:rPr>
          <w:rFonts w:eastAsia="Calibri"/>
          <w:b/>
          <w:lang w:val="ro-RO"/>
        </w:rPr>
        <w:t xml:space="preserve">Tematică: </w:t>
      </w:r>
    </w:p>
    <w:p w:rsidR="00D33EB2" w:rsidRPr="009D3014" w:rsidRDefault="00D33EB2" w:rsidP="00D33EB2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proofErr w:type="spellStart"/>
      <w:r w:rsidRPr="009D3014">
        <w:rPr>
          <w:rFonts w:eastAsia="Calibri"/>
          <w:lang w:val="ro-RO"/>
        </w:rPr>
        <w:t>Constituţia</w:t>
      </w:r>
      <w:proofErr w:type="spellEnd"/>
      <w:r w:rsidRPr="009D3014">
        <w:rPr>
          <w:rFonts w:eastAsia="Calibri"/>
          <w:lang w:val="ro-RO"/>
        </w:rPr>
        <w:t xml:space="preserve"> României, republicată;</w:t>
      </w:r>
    </w:p>
    <w:p w:rsidR="00D33EB2" w:rsidRPr="009D3014" w:rsidRDefault="00D33EB2" w:rsidP="00D33EB2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Titlul I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II ale </w:t>
      </w:r>
      <w:proofErr w:type="spellStart"/>
      <w:r w:rsidRPr="009D3014">
        <w:rPr>
          <w:rFonts w:eastAsia="Calibri"/>
          <w:lang w:val="ro-RO"/>
        </w:rPr>
        <w:t>părţii</w:t>
      </w:r>
      <w:proofErr w:type="spellEnd"/>
      <w:r w:rsidRPr="009D3014">
        <w:rPr>
          <w:rFonts w:eastAsia="Calibri"/>
          <w:lang w:val="ro-RO"/>
        </w:rPr>
        <w:t xml:space="preserve"> a VI -a din </w:t>
      </w:r>
      <w:proofErr w:type="spellStart"/>
      <w:r w:rsidRPr="009D3014">
        <w:rPr>
          <w:rFonts w:eastAsia="Calibri"/>
          <w:lang w:val="ro-RO"/>
        </w:rPr>
        <w:t>Ordonanţa</w:t>
      </w:r>
      <w:proofErr w:type="spellEnd"/>
      <w:r w:rsidRPr="009D3014">
        <w:rPr>
          <w:rFonts w:eastAsia="Calibri"/>
          <w:lang w:val="ro-RO"/>
        </w:rPr>
        <w:t xml:space="preserve"> de </w:t>
      </w:r>
      <w:proofErr w:type="spellStart"/>
      <w:r w:rsidRPr="009D3014">
        <w:rPr>
          <w:rFonts w:eastAsia="Calibri"/>
          <w:lang w:val="ro-RO"/>
        </w:rPr>
        <w:t>urgenţă</w:t>
      </w:r>
      <w:proofErr w:type="spellEnd"/>
      <w:r w:rsidRPr="009D3014">
        <w:rPr>
          <w:rFonts w:eastAsia="Calibri"/>
          <w:lang w:val="ro-RO"/>
        </w:rPr>
        <w:t xml:space="preserve"> a Guvernului nr. 57/2019,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D33EB2" w:rsidRPr="009D3014" w:rsidRDefault="00D33EB2" w:rsidP="00D33EB2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proofErr w:type="spellStart"/>
      <w:r w:rsidRPr="009D3014">
        <w:rPr>
          <w:rFonts w:eastAsia="Calibri"/>
          <w:lang w:val="ro-RO"/>
        </w:rPr>
        <w:t>Ordonanţa</w:t>
      </w:r>
      <w:proofErr w:type="spellEnd"/>
      <w:r w:rsidRPr="009D3014">
        <w:rPr>
          <w:rFonts w:eastAsia="Calibri"/>
          <w:lang w:val="ro-RO"/>
        </w:rPr>
        <w:t xml:space="preserve"> Guvernului  nr. 137/2000 privind prevenirea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sancţionarea</w:t>
      </w:r>
      <w:proofErr w:type="spellEnd"/>
      <w:r w:rsidRPr="009D3014">
        <w:rPr>
          <w:rFonts w:eastAsia="Calibri"/>
          <w:lang w:val="ro-RO"/>
        </w:rPr>
        <w:t xml:space="preserve"> tuturor formelor de discriminare, republicată,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D33EB2" w:rsidRPr="009D3014" w:rsidRDefault="00D33EB2" w:rsidP="00D33EB2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Legea nr. 202/2002 privind egalitatea de </w:t>
      </w:r>
      <w:proofErr w:type="spellStart"/>
      <w:r w:rsidRPr="009D3014">
        <w:rPr>
          <w:rFonts w:eastAsia="Calibri"/>
          <w:lang w:val="ro-RO"/>
        </w:rPr>
        <w:t>şanse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de tratament între femei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bărbaţi</w:t>
      </w:r>
      <w:proofErr w:type="spellEnd"/>
      <w:r w:rsidRPr="009D3014">
        <w:rPr>
          <w:rFonts w:eastAsia="Calibri"/>
          <w:lang w:val="ro-RO"/>
        </w:rPr>
        <w:t xml:space="preserve">, republicată, cu modificările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completările ulterioare;</w:t>
      </w:r>
    </w:p>
    <w:p w:rsidR="009D3014" w:rsidRPr="009D3014" w:rsidRDefault="009D3014" w:rsidP="009D3014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Organizarea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funcţionarea</w:t>
      </w:r>
      <w:proofErr w:type="spellEnd"/>
      <w:r w:rsidRPr="009D3014">
        <w:rPr>
          <w:rFonts w:eastAsia="Calibri"/>
          <w:lang w:val="ro-RO"/>
        </w:rPr>
        <w:t xml:space="preserve"> ANABI. </w:t>
      </w:r>
      <w:proofErr w:type="spellStart"/>
      <w:r w:rsidRPr="009D3014">
        <w:rPr>
          <w:rFonts w:eastAsia="Calibri"/>
          <w:lang w:val="ro-RO"/>
        </w:rPr>
        <w:t>Atribuţiile</w:t>
      </w:r>
      <w:proofErr w:type="spellEnd"/>
      <w:r w:rsidRPr="009D3014">
        <w:rPr>
          <w:rFonts w:eastAsia="Calibri"/>
          <w:lang w:val="ro-RO"/>
        </w:rPr>
        <w:t xml:space="preserve"> ANABI (Legea nr. 318/2015, HG. nr. 358/2016);</w:t>
      </w:r>
    </w:p>
    <w:p w:rsidR="009D3014" w:rsidRPr="009D3014" w:rsidRDefault="009D3014" w:rsidP="009D3014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Cadrul legal general privind </w:t>
      </w:r>
      <w:proofErr w:type="spellStart"/>
      <w:r w:rsidRPr="009D3014">
        <w:rPr>
          <w:rFonts w:eastAsia="Calibri"/>
          <w:lang w:val="ro-RO"/>
        </w:rPr>
        <w:t>finanţele</w:t>
      </w:r>
      <w:proofErr w:type="spellEnd"/>
      <w:r w:rsidRPr="009D3014">
        <w:rPr>
          <w:rFonts w:eastAsia="Calibri"/>
          <w:lang w:val="ro-RO"/>
        </w:rPr>
        <w:t xml:space="preserve"> publice: </w:t>
      </w:r>
      <w:proofErr w:type="spellStart"/>
      <w:r w:rsidRPr="009D3014">
        <w:rPr>
          <w:rFonts w:eastAsia="Calibri"/>
          <w:lang w:val="ro-RO"/>
        </w:rPr>
        <w:t>Dispoziţii</w:t>
      </w:r>
      <w:proofErr w:type="spellEnd"/>
      <w:r w:rsidRPr="009D3014">
        <w:rPr>
          <w:rFonts w:eastAsia="Calibri"/>
          <w:lang w:val="ro-RO"/>
        </w:rPr>
        <w:t xml:space="preserve"> generale. Principii si reguli bugetare (Legea nr. 500/2002);</w:t>
      </w:r>
    </w:p>
    <w:p w:rsidR="009D3014" w:rsidRPr="009D3014" w:rsidRDefault="009D3014" w:rsidP="009D3014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Organizarea si conducerea </w:t>
      </w:r>
      <w:proofErr w:type="spellStart"/>
      <w:r w:rsidRPr="009D3014">
        <w:rPr>
          <w:rFonts w:eastAsia="Calibri"/>
          <w:lang w:val="ro-RO"/>
        </w:rPr>
        <w:t>contabilităţii</w:t>
      </w:r>
      <w:proofErr w:type="spellEnd"/>
      <w:r w:rsidRPr="009D3014">
        <w:rPr>
          <w:rFonts w:eastAsia="Calibri"/>
          <w:lang w:val="ro-RO"/>
        </w:rPr>
        <w:t xml:space="preserve"> (Legea nr. 82/1991);</w:t>
      </w:r>
    </w:p>
    <w:p w:rsidR="009D3014" w:rsidRPr="009D3014" w:rsidRDefault="009D3014" w:rsidP="009D3014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Aprobarea, depunerea si componenta </w:t>
      </w:r>
      <w:proofErr w:type="spellStart"/>
      <w:r w:rsidRPr="009D3014">
        <w:rPr>
          <w:rFonts w:eastAsia="Calibri"/>
          <w:lang w:val="ro-RO"/>
        </w:rPr>
        <w:t>situaţiilor</w:t>
      </w:r>
      <w:proofErr w:type="spellEnd"/>
      <w:r w:rsidRPr="009D3014">
        <w:rPr>
          <w:rFonts w:eastAsia="Calibri"/>
          <w:lang w:val="ro-RO"/>
        </w:rPr>
        <w:t xml:space="preserve"> financiare; Principii contabile; Activele curente (OMFP nr.1917/2005);</w:t>
      </w:r>
    </w:p>
    <w:p w:rsidR="009D3014" w:rsidRPr="009D3014" w:rsidRDefault="009D3014" w:rsidP="009D3014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Organizarea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efectuarea inventarierii elementelor de natura activelor, datoriilor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capitalurilor proprii (Ordinul nr. 2861/2009);</w:t>
      </w:r>
    </w:p>
    <w:p w:rsidR="009D3014" w:rsidRPr="009D3014" w:rsidRDefault="009D3014" w:rsidP="009D3014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Angajarea cheltuielilor publice ; Plata cheltuielilor </w:t>
      </w:r>
      <w:proofErr w:type="spellStart"/>
      <w:r w:rsidRPr="009D3014">
        <w:rPr>
          <w:rFonts w:eastAsia="Calibri"/>
          <w:lang w:val="ro-RO"/>
        </w:rPr>
        <w:t>instituţiilor</w:t>
      </w:r>
      <w:proofErr w:type="spellEnd"/>
      <w:r w:rsidRPr="009D3014">
        <w:rPr>
          <w:rFonts w:eastAsia="Calibri"/>
          <w:lang w:val="ro-RO"/>
        </w:rPr>
        <w:t xml:space="preserve"> publice, precum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organizarea, </w:t>
      </w:r>
      <w:proofErr w:type="spellStart"/>
      <w:r w:rsidRPr="009D3014">
        <w:rPr>
          <w:rFonts w:eastAsia="Calibri"/>
          <w:lang w:val="ro-RO"/>
        </w:rPr>
        <w:t>evidenţa</w:t>
      </w:r>
      <w:proofErr w:type="spellEnd"/>
      <w:r w:rsidRPr="009D3014">
        <w:rPr>
          <w:rFonts w:eastAsia="Calibri"/>
          <w:lang w:val="ro-RO"/>
        </w:rPr>
        <w:t xml:space="preserve">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raportarea angajamentelor bugetare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legale (OMFP nr.1792/2002) ;</w:t>
      </w:r>
    </w:p>
    <w:p w:rsidR="009D3014" w:rsidRPr="009D3014" w:rsidRDefault="009D3014" w:rsidP="009D3014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Contracte între </w:t>
      </w:r>
      <w:proofErr w:type="spellStart"/>
      <w:r w:rsidRPr="009D3014">
        <w:rPr>
          <w:rFonts w:eastAsia="Calibri"/>
          <w:lang w:val="ro-RO"/>
        </w:rPr>
        <w:t>profesionişti</w:t>
      </w:r>
      <w:proofErr w:type="spellEnd"/>
      <w:r w:rsidRPr="009D3014">
        <w:rPr>
          <w:rFonts w:eastAsia="Calibri"/>
          <w:lang w:val="ro-RO"/>
        </w:rPr>
        <w:t xml:space="preserve"> (Legea nr.72/2013); </w:t>
      </w:r>
    </w:p>
    <w:p w:rsidR="009D3014" w:rsidRPr="009D3014" w:rsidRDefault="009D3014" w:rsidP="009D3014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9D3014">
        <w:rPr>
          <w:rFonts w:eastAsia="Calibri"/>
          <w:lang w:val="ro-RO"/>
        </w:rPr>
        <w:t xml:space="preserve">Anexa 5 ordinul nr. 517/2016 procedura privind modulul "Completarea </w:t>
      </w:r>
      <w:proofErr w:type="spellStart"/>
      <w:r w:rsidRPr="009D3014">
        <w:rPr>
          <w:rFonts w:eastAsia="Calibri"/>
          <w:lang w:val="ro-RO"/>
        </w:rPr>
        <w:t>şi</w:t>
      </w:r>
      <w:proofErr w:type="spellEnd"/>
      <w:r w:rsidRPr="009D3014">
        <w:rPr>
          <w:rFonts w:eastAsia="Calibri"/>
          <w:lang w:val="ro-RO"/>
        </w:rPr>
        <w:t xml:space="preserve"> depunerea formularelor din sfera raportării </w:t>
      </w:r>
      <w:proofErr w:type="spellStart"/>
      <w:r w:rsidRPr="009D3014">
        <w:rPr>
          <w:rFonts w:eastAsia="Calibri"/>
          <w:lang w:val="ro-RO"/>
        </w:rPr>
        <w:t>situaţiilor</w:t>
      </w:r>
      <w:proofErr w:type="spellEnd"/>
      <w:r w:rsidRPr="009D3014">
        <w:rPr>
          <w:rFonts w:eastAsia="Calibri"/>
          <w:lang w:val="ro-RO"/>
        </w:rPr>
        <w:t xml:space="preserve"> financiare ale </w:t>
      </w:r>
      <w:proofErr w:type="spellStart"/>
      <w:r w:rsidRPr="009D3014">
        <w:rPr>
          <w:rFonts w:eastAsia="Calibri"/>
          <w:lang w:val="ro-RO"/>
        </w:rPr>
        <w:t>instituţiilor</w:t>
      </w:r>
      <w:proofErr w:type="spellEnd"/>
      <w:r w:rsidRPr="009D3014">
        <w:rPr>
          <w:rFonts w:eastAsia="Calibri"/>
          <w:lang w:val="ro-RO"/>
        </w:rPr>
        <w:t xml:space="preserve"> publice" (prevederi cu caracter general; completarea si depunerea formularelor)</w:t>
      </w:r>
    </w:p>
    <w:p w:rsidR="009D3014" w:rsidRPr="009D3014" w:rsidRDefault="009D3014" w:rsidP="009D3014">
      <w:pPr>
        <w:ind w:left="0"/>
        <w:rPr>
          <w:lang w:val="ro-RO"/>
        </w:rPr>
      </w:pPr>
    </w:p>
    <w:p w:rsidR="009D3014" w:rsidRPr="009D3014" w:rsidRDefault="009D3014" w:rsidP="009D3014">
      <w:pPr>
        <w:spacing w:after="0" w:line="240" w:lineRule="auto"/>
        <w:ind w:left="0"/>
        <w:rPr>
          <w:lang w:val="ro-RO"/>
        </w:rPr>
      </w:pPr>
    </w:p>
    <w:p w:rsidR="009D3014" w:rsidRPr="009D3014" w:rsidRDefault="009D3014" w:rsidP="009D3014">
      <w:pPr>
        <w:spacing w:after="0" w:line="240" w:lineRule="auto"/>
        <w:ind w:left="0"/>
        <w:jc w:val="center"/>
        <w:rPr>
          <w:lang w:val="ro-RO"/>
        </w:rPr>
      </w:pPr>
    </w:p>
    <w:p w:rsidR="009D3014" w:rsidRPr="009D3014" w:rsidRDefault="009D3014" w:rsidP="009D3014">
      <w:pPr>
        <w:spacing w:after="0" w:line="240" w:lineRule="auto"/>
        <w:ind w:left="0"/>
        <w:rPr>
          <w:lang w:val="ro-RO"/>
        </w:rPr>
      </w:pPr>
      <w:r w:rsidRPr="009D3014">
        <w:rPr>
          <w:lang w:val="ro-RO"/>
        </w:rPr>
        <w:t xml:space="preserve">    </w:t>
      </w:r>
    </w:p>
    <w:p w:rsidR="009D3014" w:rsidRPr="009D3014" w:rsidRDefault="009D3014" w:rsidP="009D3014">
      <w:pPr>
        <w:tabs>
          <w:tab w:val="left" w:pos="5865"/>
        </w:tabs>
        <w:ind w:left="0"/>
        <w:jc w:val="left"/>
        <w:rPr>
          <w:lang w:val="ro-RO"/>
        </w:rPr>
      </w:pPr>
    </w:p>
    <w:p w:rsidR="007D6334" w:rsidRDefault="007D6334" w:rsidP="00C947B0">
      <w:pPr>
        <w:spacing w:after="0" w:line="240" w:lineRule="auto"/>
        <w:ind w:left="0"/>
        <w:rPr>
          <w:lang w:val="ro-RO"/>
        </w:rPr>
      </w:pP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</w:p>
    <w:p w:rsidR="007D6334" w:rsidRPr="00B60352" w:rsidRDefault="007D6334" w:rsidP="007D6334">
      <w:pPr>
        <w:ind w:left="-57" w:right="227"/>
        <w:rPr>
          <w:b/>
          <w:lang w:val="ro-RO"/>
        </w:rPr>
      </w:pPr>
    </w:p>
    <w:p w:rsidR="007D6334" w:rsidRPr="00B60352" w:rsidRDefault="007D6334" w:rsidP="007D6334">
      <w:pPr>
        <w:ind w:left="-57" w:right="227"/>
        <w:rPr>
          <w:b/>
          <w:lang w:val="ro-RO"/>
        </w:rPr>
      </w:pPr>
      <w:r w:rsidRPr="00B60352">
        <w:rPr>
          <w:b/>
          <w:lang w:val="ro-RO"/>
        </w:rPr>
        <w:t xml:space="preserve"> NOTĂ: </w:t>
      </w:r>
    </w:p>
    <w:p w:rsidR="007D6334" w:rsidRPr="00B60352" w:rsidRDefault="007D6334" w:rsidP="007D6334">
      <w:pPr>
        <w:ind w:left="-57" w:right="227"/>
        <w:rPr>
          <w:b/>
          <w:lang w:val="ro-RO"/>
        </w:rPr>
      </w:pPr>
      <w:r w:rsidRPr="00B60352">
        <w:rPr>
          <w:b/>
          <w:lang w:val="ro-RO"/>
        </w:rPr>
        <w:t xml:space="preserve">În vederea pregătirii pentru examen, </w:t>
      </w:r>
      <w:proofErr w:type="spellStart"/>
      <w:r w:rsidRPr="00B60352">
        <w:rPr>
          <w:b/>
          <w:lang w:val="ro-RO"/>
        </w:rPr>
        <w:t>candidaţii</w:t>
      </w:r>
      <w:proofErr w:type="spellEnd"/>
      <w:r w:rsidRPr="00B60352">
        <w:rPr>
          <w:b/>
          <w:lang w:val="ro-RO"/>
        </w:rPr>
        <w:t xml:space="preserve"> vor consulta bibliografia indicată, în forma actualizată, în vigoare la data publicării </w:t>
      </w:r>
      <w:proofErr w:type="spellStart"/>
      <w:r w:rsidRPr="00B60352">
        <w:rPr>
          <w:b/>
          <w:lang w:val="ro-RO"/>
        </w:rPr>
        <w:t>anunţului</w:t>
      </w:r>
      <w:proofErr w:type="spellEnd"/>
      <w:r w:rsidRPr="00B60352">
        <w:rPr>
          <w:b/>
          <w:lang w:val="ro-RO"/>
        </w:rPr>
        <w:t xml:space="preserve"> de examen. Actele normative </w:t>
      </w:r>
      <w:proofErr w:type="spellStart"/>
      <w:r w:rsidRPr="00B60352">
        <w:rPr>
          <w:b/>
          <w:lang w:val="ro-RO"/>
        </w:rPr>
        <w:t>menţionate</w:t>
      </w:r>
      <w:proofErr w:type="spellEnd"/>
      <w:r w:rsidRPr="00B60352">
        <w:rPr>
          <w:b/>
          <w:lang w:val="ro-RO"/>
        </w:rPr>
        <w:t xml:space="preserve"> pentru care nu sunt specificate titluri sau capitole vor fi studiate în întregime.</w:t>
      </w: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  <w:bookmarkStart w:id="1" w:name="_GoBack"/>
      <w:bookmarkEnd w:id="1"/>
    </w:p>
    <w:sectPr w:rsidR="00D2110D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29" w:rsidRDefault="00945029" w:rsidP="00CD5B3B">
      <w:r>
        <w:separator/>
      </w:r>
    </w:p>
  </w:endnote>
  <w:endnote w:type="continuationSeparator" w:id="0">
    <w:p w:rsidR="00945029" w:rsidRDefault="0094502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945029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996DE6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945029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996DE6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29" w:rsidRDefault="00945029" w:rsidP="00AE0541">
      <w:pPr>
        <w:spacing w:after="0"/>
        <w:ind w:left="0"/>
      </w:pPr>
      <w:r>
        <w:separator/>
      </w:r>
    </w:p>
  </w:footnote>
  <w:footnote w:type="continuationSeparator" w:id="0">
    <w:p w:rsidR="00945029" w:rsidRDefault="00945029" w:rsidP="00AE0541">
      <w:pPr>
        <w:ind w:left="0"/>
      </w:pPr>
      <w:r>
        <w:continuationSeparator/>
      </w:r>
    </w:p>
  </w:footnote>
  <w:footnote w:type="continuationNotice" w:id="1">
    <w:p w:rsidR="00945029" w:rsidRDefault="00945029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5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65196"/>
    <w:rsid w:val="0007041B"/>
    <w:rsid w:val="0007728D"/>
    <w:rsid w:val="00077CDD"/>
    <w:rsid w:val="00080290"/>
    <w:rsid w:val="00080B90"/>
    <w:rsid w:val="000820D2"/>
    <w:rsid w:val="00097D38"/>
    <w:rsid w:val="000B27B3"/>
    <w:rsid w:val="000B3407"/>
    <w:rsid w:val="000B65AB"/>
    <w:rsid w:val="000C29D4"/>
    <w:rsid w:val="000C7C70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6A69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F2A42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D59"/>
    <w:rsid w:val="0023249B"/>
    <w:rsid w:val="002349BC"/>
    <w:rsid w:val="0023635A"/>
    <w:rsid w:val="00237EC1"/>
    <w:rsid w:val="00244082"/>
    <w:rsid w:val="00247F16"/>
    <w:rsid w:val="0026316F"/>
    <w:rsid w:val="0026399B"/>
    <w:rsid w:val="0027019D"/>
    <w:rsid w:val="00272628"/>
    <w:rsid w:val="00274FDD"/>
    <w:rsid w:val="00282055"/>
    <w:rsid w:val="00284604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F42F5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5233C"/>
    <w:rsid w:val="00353447"/>
    <w:rsid w:val="00361FB4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D6AE2"/>
    <w:rsid w:val="003D6BD7"/>
    <w:rsid w:val="003D790B"/>
    <w:rsid w:val="003E07B2"/>
    <w:rsid w:val="003E13BA"/>
    <w:rsid w:val="003E480F"/>
    <w:rsid w:val="003E4A5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6E2B"/>
    <w:rsid w:val="00490461"/>
    <w:rsid w:val="00493AD5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24DCF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3896"/>
    <w:rsid w:val="005D76EE"/>
    <w:rsid w:val="005E6FFA"/>
    <w:rsid w:val="005E7BDE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15BD0"/>
    <w:rsid w:val="006237AF"/>
    <w:rsid w:val="0062526A"/>
    <w:rsid w:val="00626799"/>
    <w:rsid w:val="00627BDB"/>
    <w:rsid w:val="006349D0"/>
    <w:rsid w:val="0063555A"/>
    <w:rsid w:val="00637512"/>
    <w:rsid w:val="0064381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47F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0EB8"/>
    <w:rsid w:val="006D1B86"/>
    <w:rsid w:val="006E1065"/>
    <w:rsid w:val="006E1322"/>
    <w:rsid w:val="006E1AB8"/>
    <w:rsid w:val="006E5A30"/>
    <w:rsid w:val="006F3F77"/>
    <w:rsid w:val="006F48AA"/>
    <w:rsid w:val="007036A6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334"/>
    <w:rsid w:val="007D69C7"/>
    <w:rsid w:val="007E254A"/>
    <w:rsid w:val="007E33DE"/>
    <w:rsid w:val="007E61E1"/>
    <w:rsid w:val="007F0510"/>
    <w:rsid w:val="007F0AB7"/>
    <w:rsid w:val="007F3F09"/>
    <w:rsid w:val="00803226"/>
    <w:rsid w:val="00803A31"/>
    <w:rsid w:val="00810F36"/>
    <w:rsid w:val="00810F46"/>
    <w:rsid w:val="00820882"/>
    <w:rsid w:val="00822618"/>
    <w:rsid w:val="008231E2"/>
    <w:rsid w:val="00840F14"/>
    <w:rsid w:val="00850A74"/>
    <w:rsid w:val="008572C3"/>
    <w:rsid w:val="00862497"/>
    <w:rsid w:val="00862942"/>
    <w:rsid w:val="0086636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5096"/>
    <w:rsid w:val="009151C7"/>
    <w:rsid w:val="009221AD"/>
    <w:rsid w:val="00923962"/>
    <w:rsid w:val="00926683"/>
    <w:rsid w:val="009345E7"/>
    <w:rsid w:val="00935789"/>
    <w:rsid w:val="00935D33"/>
    <w:rsid w:val="009378F8"/>
    <w:rsid w:val="00945029"/>
    <w:rsid w:val="0094530E"/>
    <w:rsid w:val="00945E07"/>
    <w:rsid w:val="00946AD3"/>
    <w:rsid w:val="00947BCE"/>
    <w:rsid w:val="0095119D"/>
    <w:rsid w:val="009514F0"/>
    <w:rsid w:val="0095424E"/>
    <w:rsid w:val="00955DAE"/>
    <w:rsid w:val="00957CA5"/>
    <w:rsid w:val="00961830"/>
    <w:rsid w:val="009648E5"/>
    <w:rsid w:val="00970141"/>
    <w:rsid w:val="00971C18"/>
    <w:rsid w:val="00975AEE"/>
    <w:rsid w:val="00976472"/>
    <w:rsid w:val="00986C16"/>
    <w:rsid w:val="0098713C"/>
    <w:rsid w:val="009873A0"/>
    <w:rsid w:val="00991841"/>
    <w:rsid w:val="0099243E"/>
    <w:rsid w:val="00994672"/>
    <w:rsid w:val="009948C0"/>
    <w:rsid w:val="0099692C"/>
    <w:rsid w:val="00996DE6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C60FD"/>
    <w:rsid w:val="009D3014"/>
    <w:rsid w:val="009D5825"/>
    <w:rsid w:val="009E6FCD"/>
    <w:rsid w:val="009E74CB"/>
    <w:rsid w:val="009E7609"/>
    <w:rsid w:val="009F3101"/>
    <w:rsid w:val="009F7363"/>
    <w:rsid w:val="00A04970"/>
    <w:rsid w:val="00A105F6"/>
    <w:rsid w:val="00A1111E"/>
    <w:rsid w:val="00A13890"/>
    <w:rsid w:val="00A13B72"/>
    <w:rsid w:val="00A15F97"/>
    <w:rsid w:val="00A21CB8"/>
    <w:rsid w:val="00A221A6"/>
    <w:rsid w:val="00A223E9"/>
    <w:rsid w:val="00A33ACE"/>
    <w:rsid w:val="00A40CDC"/>
    <w:rsid w:val="00A413D4"/>
    <w:rsid w:val="00A425EA"/>
    <w:rsid w:val="00A43D56"/>
    <w:rsid w:val="00A447E9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26B4"/>
    <w:rsid w:val="00AE29F6"/>
    <w:rsid w:val="00AE69CF"/>
    <w:rsid w:val="00AF54DB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04F3"/>
    <w:rsid w:val="00B31E1A"/>
    <w:rsid w:val="00B3416A"/>
    <w:rsid w:val="00B35182"/>
    <w:rsid w:val="00B41CEA"/>
    <w:rsid w:val="00B44F9B"/>
    <w:rsid w:val="00B4510B"/>
    <w:rsid w:val="00B471AB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820B4"/>
    <w:rsid w:val="00B83582"/>
    <w:rsid w:val="00B94FC5"/>
    <w:rsid w:val="00BA01FD"/>
    <w:rsid w:val="00BA107C"/>
    <w:rsid w:val="00BA3FB5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CB6"/>
    <w:rsid w:val="00BD7BC8"/>
    <w:rsid w:val="00BE2B2A"/>
    <w:rsid w:val="00BE34DB"/>
    <w:rsid w:val="00BF6E8B"/>
    <w:rsid w:val="00BF7D0D"/>
    <w:rsid w:val="00C01AB9"/>
    <w:rsid w:val="00C05271"/>
    <w:rsid w:val="00C0557A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4D63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241"/>
    <w:rsid w:val="00C858FB"/>
    <w:rsid w:val="00C8661F"/>
    <w:rsid w:val="00C87978"/>
    <w:rsid w:val="00C947B0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EF6"/>
    <w:rsid w:val="00CF4444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110D"/>
    <w:rsid w:val="00D229C2"/>
    <w:rsid w:val="00D24055"/>
    <w:rsid w:val="00D2424E"/>
    <w:rsid w:val="00D25D9F"/>
    <w:rsid w:val="00D31B4D"/>
    <w:rsid w:val="00D32D07"/>
    <w:rsid w:val="00D33EB2"/>
    <w:rsid w:val="00D379DB"/>
    <w:rsid w:val="00D37F66"/>
    <w:rsid w:val="00D418F4"/>
    <w:rsid w:val="00D43D5C"/>
    <w:rsid w:val="00D4422C"/>
    <w:rsid w:val="00D45184"/>
    <w:rsid w:val="00D5398B"/>
    <w:rsid w:val="00D6122A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62FC"/>
    <w:rsid w:val="00E65C5C"/>
    <w:rsid w:val="00E720D7"/>
    <w:rsid w:val="00E7383E"/>
    <w:rsid w:val="00E74F91"/>
    <w:rsid w:val="00E756E8"/>
    <w:rsid w:val="00E80D5E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CF6"/>
    <w:rsid w:val="00F020F9"/>
    <w:rsid w:val="00F04282"/>
    <w:rsid w:val="00F05AC8"/>
    <w:rsid w:val="00F070CB"/>
    <w:rsid w:val="00F07683"/>
    <w:rsid w:val="00F12DB1"/>
    <w:rsid w:val="00F13165"/>
    <w:rsid w:val="00F2179A"/>
    <w:rsid w:val="00F21FA6"/>
    <w:rsid w:val="00F22429"/>
    <w:rsid w:val="00F244F8"/>
    <w:rsid w:val="00F34E4D"/>
    <w:rsid w:val="00F3568F"/>
    <w:rsid w:val="00F41093"/>
    <w:rsid w:val="00F45DCE"/>
    <w:rsid w:val="00F47C8C"/>
    <w:rsid w:val="00F47DAE"/>
    <w:rsid w:val="00F51D16"/>
    <w:rsid w:val="00F52823"/>
    <w:rsid w:val="00F53A71"/>
    <w:rsid w:val="00F56471"/>
    <w:rsid w:val="00F5702D"/>
    <w:rsid w:val="00F60E69"/>
    <w:rsid w:val="00F64AE0"/>
    <w:rsid w:val="00F6716D"/>
    <w:rsid w:val="00F67D20"/>
    <w:rsid w:val="00F71BD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233C-AE3D-4D8E-A56A-70FC943D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8</cp:revision>
  <cp:lastPrinted>2022-12-21T09:24:00Z</cp:lastPrinted>
  <dcterms:created xsi:type="dcterms:W3CDTF">2023-04-10T12:32:00Z</dcterms:created>
  <dcterms:modified xsi:type="dcterms:W3CDTF">2023-05-08T11:25:00Z</dcterms:modified>
</cp:coreProperties>
</file>