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ril"/>
        <w:tblW w:w="0" w:type="auto"/>
        <w:shd w:val="clear" w:color="auto" w:fill="D9D9D9" w:themeFill="background1" w:themeFillShade="D9"/>
        <w:tblLook w:val="04A0" w:firstRow="1" w:lastRow="0" w:firstColumn="1" w:lastColumn="0" w:noHBand="0" w:noVBand="1"/>
      </w:tblPr>
      <w:tblGrid>
        <w:gridCol w:w="9062"/>
      </w:tblGrid>
      <w:tr w:rsidR="0018738A" w:rsidRPr="00FD6C79" w14:paraId="4383A59D" w14:textId="77777777" w:rsidTr="00CA5083">
        <w:trPr>
          <w:trHeight w:val="1029"/>
        </w:trPr>
        <w:tc>
          <w:tcPr>
            <w:tcW w:w="9062" w:type="dxa"/>
            <w:shd w:val="clear" w:color="auto" w:fill="D9D9D9" w:themeFill="background1" w:themeFillShade="D9"/>
          </w:tcPr>
          <w:p w14:paraId="67CD1B2D" w14:textId="77777777" w:rsidR="0018738A" w:rsidRPr="00FD6C79" w:rsidRDefault="0018738A" w:rsidP="00CA5083">
            <w:pPr>
              <w:autoSpaceDE w:val="0"/>
              <w:autoSpaceDN w:val="0"/>
              <w:adjustRightInd w:val="0"/>
              <w:spacing w:before="240"/>
              <w:jc w:val="center"/>
              <w:rPr>
                <w:rFonts w:ascii="CIDFont+F7" w:hAnsi="CIDFont+F7" w:cs="CIDFont+F7"/>
                <w:b/>
                <w:sz w:val="30"/>
                <w:szCs w:val="30"/>
                <w:lang w:val="en-GB"/>
              </w:rPr>
            </w:pPr>
            <w:r w:rsidRPr="00FD6C79">
              <w:rPr>
                <w:rFonts w:ascii="CIDFont+F7" w:hAnsi="CIDFont+F7" w:cs="CIDFont+F7"/>
                <w:b/>
                <w:sz w:val="30"/>
                <w:szCs w:val="30"/>
                <w:lang w:val="en-GB"/>
              </w:rPr>
              <w:t>TERMS OF REFERENCE</w:t>
            </w:r>
          </w:p>
          <w:p w14:paraId="42986E01" w14:textId="77777777" w:rsidR="0018738A" w:rsidRPr="00FD6C79" w:rsidRDefault="0018738A" w:rsidP="00CA5083">
            <w:pPr>
              <w:autoSpaceDE w:val="0"/>
              <w:autoSpaceDN w:val="0"/>
              <w:adjustRightInd w:val="0"/>
              <w:jc w:val="center"/>
              <w:rPr>
                <w:rFonts w:cstheme="minorHAnsi"/>
                <w:b/>
                <w:lang w:val="en-GB"/>
              </w:rPr>
            </w:pPr>
            <w:r w:rsidRPr="00FD6C79">
              <w:rPr>
                <w:rFonts w:cstheme="minorHAnsi"/>
                <w:b/>
                <w:lang w:val="en-GB"/>
              </w:rPr>
              <w:t>Call for two EU training experts specialised in financial investigations and assets recovery for two specialised training sessions in matters of THB (two trainers for each session)</w:t>
            </w:r>
          </w:p>
          <w:p w14:paraId="6CC10257" w14:textId="77777777" w:rsidR="0018738A" w:rsidRPr="00FD6C79" w:rsidRDefault="0018738A" w:rsidP="00CA5083">
            <w:pPr>
              <w:spacing w:line="276" w:lineRule="auto"/>
              <w:jc w:val="both"/>
              <w:rPr>
                <w:lang w:val="en-GB"/>
              </w:rPr>
            </w:pPr>
          </w:p>
        </w:tc>
      </w:tr>
    </w:tbl>
    <w:p w14:paraId="2C7541FE" w14:textId="77777777" w:rsidR="0018738A" w:rsidRPr="00FD6C79" w:rsidRDefault="0018738A" w:rsidP="0018738A">
      <w:pPr>
        <w:spacing w:before="240" w:line="276" w:lineRule="auto"/>
        <w:jc w:val="both"/>
        <w:rPr>
          <w:lang w:val="en-GB"/>
        </w:rPr>
      </w:pPr>
      <w:r w:rsidRPr="00FD6C79">
        <w:rPr>
          <w:lang w:val="en-GB"/>
        </w:rPr>
        <w:t>The Romanian National Agency for the Management of Seized Assets, acting as Partner of the EU-funded project ISFP-2019-AG-THB-101022025</w:t>
      </w:r>
      <w:r>
        <w:rPr>
          <w:lang w:val="en-GB"/>
        </w:rPr>
        <w:t xml:space="preserve"> –</w:t>
      </w:r>
      <w:r w:rsidRPr="00FD6C79">
        <w:rPr>
          <w:lang w:val="en-GB"/>
        </w:rPr>
        <w:t xml:space="preserve"> WESTEROS</w:t>
      </w:r>
      <w:r>
        <w:rPr>
          <w:lang w:val="en-GB"/>
        </w:rPr>
        <w:t xml:space="preserve"> </w:t>
      </w:r>
      <w:r w:rsidRPr="00FD6C79">
        <w:rPr>
          <w:lang w:val="en-GB"/>
        </w:rPr>
        <w:t>2 “Further enhancing the fight against trafficking in human beings by focusing on prevention, cooperation and recovery of crime proceeds”, intends to contract two EU experts specialized in financial investigations.</w:t>
      </w:r>
    </w:p>
    <w:p w14:paraId="29716B77" w14:textId="77777777" w:rsidR="0018738A" w:rsidRPr="00FD6C79" w:rsidRDefault="0018738A" w:rsidP="0018738A">
      <w:pPr>
        <w:spacing w:line="276" w:lineRule="auto"/>
        <w:jc w:val="both"/>
        <w:rPr>
          <w:lang w:val="en-GB"/>
        </w:rPr>
      </w:pPr>
      <w:r w:rsidRPr="00FD6C79">
        <w:rPr>
          <w:lang w:val="en-GB"/>
        </w:rPr>
        <w:t>The selected experts will take part as trainers in two separate training activities that aim to provide law enforcement professionals with the necessary theoretical and practical means and specialised tools for the financial investigations and assets recovery in cases of THB related cases.</w:t>
      </w:r>
    </w:p>
    <w:tbl>
      <w:tblPr>
        <w:tblStyle w:val="Tabelgril"/>
        <w:tblW w:w="0" w:type="auto"/>
        <w:tblLook w:val="04A0" w:firstRow="1" w:lastRow="0" w:firstColumn="1" w:lastColumn="0" w:noHBand="0" w:noVBand="1"/>
      </w:tblPr>
      <w:tblGrid>
        <w:gridCol w:w="9062"/>
      </w:tblGrid>
      <w:tr w:rsidR="0018738A" w:rsidRPr="00FD6C79" w14:paraId="1CDC69FE" w14:textId="77777777" w:rsidTr="00CA5083">
        <w:tc>
          <w:tcPr>
            <w:tcW w:w="9062" w:type="dxa"/>
            <w:shd w:val="clear" w:color="auto" w:fill="D9D9D9" w:themeFill="background1" w:themeFillShade="D9"/>
          </w:tcPr>
          <w:p w14:paraId="7F3484ED" w14:textId="77777777" w:rsidR="0018738A" w:rsidRPr="00FD6C79" w:rsidRDefault="0018738A" w:rsidP="00CA5083">
            <w:pPr>
              <w:spacing w:line="276" w:lineRule="auto"/>
              <w:jc w:val="both"/>
              <w:rPr>
                <w:b/>
                <w:lang w:val="en-GB"/>
              </w:rPr>
            </w:pPr>
            <w:r w:rsidRPr="00FD6C79">
              <w:rPr>
                <w:b/>
                <w:lang w:val="en-GB"/>
              </w:rPr>
              <w:t>Project Coordinator</w:t>
            </w:r>
          </w:p>
        </w:tc>
      </w:tr>
    </w:tbl>
    <w:p w14:paraId="4EDAEC58" w14:textId="77777777" w:rsidR="0018738A" w:rsidRPr="00FD6C79" w:rsidRDefault="0018738A" w:rsidP="0018738A">
      <w:pPr>
        <w:spacing w:before="240" w:line="276" w:lineRule="auto"/>
        <w:jc w:val="both"/>
        <w:rPr>
          <w:lang w:val="en-GB"/>
        </w:rPr>
      </w:pPr>
      <w:r w:rsidRPr="00FD6C79">
        <w:rPr>
          <w:b/>
          <w:lang w:val="en-GB"/>
        </w:rPr>
        <w:t>Prosecutor’s Office attached to the High Court of Cassation and Justice in Romania</w:t>
      </w:r>
      <w:r w:rsidRPr="00FD6C79">
        <w:rPr>
          <w:lang w:val="en-GB"/>
        </w:rPr>
        <w:t xml:space="preserve">, 12 </w:t>
      </w:r>
      <w:proofErr w:type="spellStart"/>
      <w:r>
        <w:rPr>
          <w:lang w:val="en-GB"/>
        </w:rPr>
        <w:t>Libertatii</w:t>
      </w:r>
      <w:proofErr w:type="spellEnd"/>
      <w:r w:rsidRPr="00FD6C79">
        <w:rPr>
          <w:lang w:val="en-GB"/>
        </w:rPr>
        <w:t xml:space="preserve"> Blvd., District 5, Bucharest, Romania</w:t>
      </w:r>
    </w:p>
    <w:p w14:paraId="3FA9D937" w14:textId="77777777" w:rsidR="0018738A" w:rsidRPr="00FD6C79" w:rsidRDefault="0018738A" w:rsidP="0018738A">
      <w:pPr>
        <w:spacing w:line="276" w:lineRule="auto"/>
        <w:jc w:val="both"/>
        <w:rPr>
          <w:b/>
          <w:lang w:val="en-GB"/>
        </w:rPr>
      </w:pPr>
      <w:r w:rsidRPr="00FD6C79">
        <w:rPr>
          <w:lang w:val="en-GB"/>
        </w:rPr>
        <w:t xml:space="preserve">Internal direct beneficiary: </w:t>
      </w:r>
      <w:r w:rsidRPr="00FD6C79">
        <w:rPr>
          <w:b/>
          <w:lang w:val="en-GB"/>
        </w:rPr>
        <w:t>ANABI</w:t>
      </w:r>
    </w:p>
    <w:tbl>
      <w:tblPr>
        <w:tblStyle w:val="Tabelgril"/>
        <w:tblW w:w="0" w:type="auto"/>
        <w:tblLook w:val="04A0" w:firstRow="1" w:lastRow="0" w:firstColumn="1" w:lastColumn="0" w:noHBand="0" w:noVBand="1"/>
      </w:tblPr>
      <w:tblGrid>
        <w:gridCol w:w="9062"/>
      </w:tblGrid>
      <w:tr w:rsidR="0018738A" w:rsidRPr="00FD6C79" w14:paraId="5AD8D115" w14:textId="77777777" w:rsidTr="00CA5083">
        <w:tc>
          <w:tcPr>
            <w:tcW w:w="9062" w:type="dxa"/>
            <w:shd w:val="clear" w:color="auto" w:fill="D9D9D9" w:themeFill="background1" w:themeFillShade="D9"/>
          </w:tcPr>
          <w:p w14:paraId="71FEE65F" w14:textId="77777777" w:rsidR="0018738A" w:rsidRPr="00FD6C79" w:rsidRDefault="0018738A" w:rsidP="00CA5083">
            <w:pPr>
              <w:spacing w:line="276" w:lineRule="auto"/>
              <w:jc w:val="both"/>
              <w:rPr>
                <w:rFonts w:cstheme="minorHAnsi"/>
                <w:b/>
                <w:lang w:val="en-GB"/>
              </w:rPr>
            </w:pPr>
            <w:r w:rsidRPr="00FD6C79">
              <w:rPr>
                <w:rFonts w:cstheme="minorHAnsi"/>
                <w:b/>
                <w:lang w:val="en-GB"/>
              </w:rPr>
              <w:t>Project partners</w:t>
            </w:r>
          </w:p>
        </w:tc>
      </w:tr>
    </w:tbl>
    <w:p w14:paraId="4AD9F529" w14:textId="77777777" w:rsidR="0018738A" w:rsidRPr="00FD6C79" w:rsidRDefault="0018738A" w:rsidP="0018738A">
      <w:pPr>
        <w:spacing w:before="240" w:after="0" w:line="276" w:lineRule="auto"/>
        <w:jc w:val="both"/>
        <w:rPr>
          <w:rFonts w:cstheme="minorHAnsi"/>
          <w:lang w:val="en-GB"/>
        </w:rPr>
      </w:pPr>
      <w:r w:rsidRPr="00FD6C79">
        <w:rPr>
          <w:rFonts w:cstheme="minorHAnsi"/>
          <w:lang w:val="en-GB"/>
        </w:rPr>
        <w:t xml:space="preserve">1. Police </w:t>
      </w:r>
      <w:proofErr w:type="spellStart"/>
      <w:r w:rsidRPr="00FD6C79">
        <w:rPr>
          <w:rFonts w:cstheme="minorHAnsi"/>
          <w:lang w:val="en-GB"/>
        </w:rPr>
        <w:t>Federale</w:t>
      </w:r>
      <w:proofErr w:type="spellEnd"/>
      <w:r w:rsidRPr="00FD6C79">
        <w:rPr>
          <w:rFonts w:cstheme="minorHAnsi"/>
          <w:lang w:val="en-GB"/>
        </w:rPr>
        <w:t xml:space="preserve"> </w:t>
      </w:r>
      <w:proofErr w:type="spellStart"/>
      <w:r w:rsidRPr="00FD6C79">
        <w:rPr>
          <w:rFonts w:cstheme="minorHAnsi"/>
          <w:lang w:val="en-GB"/>
        </w:rPr>
        <w:t>Belge</w:t>
      </w:r>
      <w:proofErr w:type="spellEnd"/>
      <w:r w:rsidRPr="00FD6C79">
        <w:rPr>
          <w:rFonts w:cstheme="minorHAnsi"/>
          <w:lang w:val="en-GB"/>
        </w:rPr>
        <w:t>, Belgium</w:t>
      </w:r>
    </w:p>
    <w:p w14:paraId="269EFA44" w14:textId="77777777" w:rsidR="0018738A" w:rsidRPr="00FD6C79" w:rsidRDefault="0018738A" w:rsidP="0018738A">
      <w:pPr>
        <w:autoSpaceDE w:val="0"/>
        <w:autoSpaceDN w:val="0"/>
        <w:adjustRightInd w:val="0"/>
        <w:spacing w:after="0" w:line="240" w:lineRule="auto"/>
        <w:ind w:left="426" w:hanging="426"/>
        <w:jc w:val="both"/>
        <w:rPr>
          <w:rFonts w:cstheme="minorHAnsi"/>
          <w:lang w:val="en-GB"/>
        </w:rPr>
      </w:pPr>
      <w:r w:rsidRPr="00FD6C79">
        <w:rPr>
          <w:rFonts w:cstheme="minorHAnsi"/>
          <w:lang w:val="en-GB"/>
        </w:rPr>
        <w:t>2. National School of Judiciary and Public Prosecution, Poland (KSSIP PL)</w:t>
      </w:r>
    </w:p>
    <w:p w14:paraId="3BF3CA69" w14:textId="77777777" w:rsidR="0018738A" w:rsidRPr="00FD6C79" w:rsidRDefault="0018738A" w:rsidP="0018738A">
      <w:pPr>
        <w:autoSpaceDE w:val="0"/>
        <w:autoSpaceDN w:val="0"/>
        <w:adjustRightInd w:val="0"/>
        <w:spacing w:after="0" w:line="240" w:lineRule="auto"/>
        <w:ind w:left="426" w:hanging="426"/>
        <w:jc w:val="both"/>
        <w:rPr>
          <w:rFonts w:cstheme="minorHAnsi"/>
          <w:lang w:val="en-GB"/>
        </w:rPr>
      </w:pPr>
      <w:r w:rsidRPr="00FD6C79">
        <w:rPr>
          <w:rFonts w:cstheme="minorHAnsi"/>
          <w:lang w:val="en-GB"/>
        </w:rPr>
        <w:t>3. Romanian National Agency for the Management of Seized Assets (ANABI)</w:t>
      </w:r>
    </w:p>
    <w:p w14:paraId="12A8F178" w14:textId="77777777" w:rsidR="0018738A" w:rsidRPr="00FD6C79" w:rsidRDefault="0018738A" w:rsidP="0018738A">
      <w:pPr>
        <w:spacing w:line="276" w:lineRule="auto"/>
        <w:ind w:left="426" w:hanging="426"/>
        <w:jc w:val="both"/>
        <w:rPr>
          <w:rFonts w:cstheme="minorHAnsi"/>
          <w:lang w:val="en-GB"/>
        </w:rPr>
      </w:pPr>
      <w:r w:rsidRPr="00FD6C79">
        <w:rPr>
          <w:rFonts w:cstheme="minorHAnsi"/>
          <w:lang w:val="en-GB"/>
        </w:rPr>
        <w:t>4. Romanian National Agency against Trafficking in Persons (ANITP)</w:t>
      </w:r>
    </w:p>
    <w:tbl>
      <w:tblPr>
        <w:tblStyle w:val="Tabelgril"/>
        <w:tblW w:w="0" w:type="auto"/>
        <w:tblLook w:val="04A0" w:firstRow="1" w:lastRow="0" w:firstColumn="1" w:lastColumn="0" w:noHBand="0" w:noVBand="1"/>
      </w:tblPr>
      <w:tblGrid>
        <w:gridCol w:w="9062"/>
      </w:tblGrid>
      <w:tr w:rsidR="0018738A" w:rsidRPr="00FD6C79" w14:paraId="32AA513F" w14:textId="77777777" w:rsidTr="00CA5083">
        <w:tc>
          <w:tcPr>
            <w:tcW w:w="9062" w:type="dxa"/>
            <w:shd w:val="clear" w:color="auto" w:fill="D9D9D9" w:themeFill="background1" w:themeFillShade="D9"/>
          </w:tcPr>
          <w:p w14:paraId="76443B78" w14:textId="77777777" w:rsidR="0018738A" w:rsidRPr="00FD6C79" w:rsidRDefault="0018738A" w:rsidP="00CA5083">
            <w:pPr>
              <w:spacing w:line="276" w:lineRule="auto"/>
              <w:jc w:val="both"/>
              <w:rPr>
                <w:rFonts w:cstheme="minorHAnsi"/>
                <w:b/>
                <w:lang w:val="en-GB"/>
              </w:rPr>
            </w:pPr>
            <w:r w:rsidRPr="00FD6C79">
              <w:rPr>
                <w:rFonts w:cstheme="minorHAnsi"/>
                <w:b/>
                <w:lang w:val="en-GB"/>
              </w:rPr>
              <w:t>Number and title of the position</w:t>
            </w:r>
          </w:p>
        </w:tc>
      </w:tr>
    </w:tbl>
    <w:p w14:paraId="4AFBB208" w14:textId="77777777" w:rsidR="0018738A" w:rsidRPr="00FD6C79" w:rsidRDefault="0018738A" w:rsidP="0018738A">
      <w:pPr>
        <w:spacing w:before="240"/>
        <w:jc w:val="both"/>
        <w:rPr>
          <w:lang w:val="en-GB"/>
        </w:rPr>
      </w:pPr>
      <w:r w:rsidRPr="00FD6C79">
        <w:rPr>
          <w:rFonts w:cstheme="minorHAnsi"/>
          <w:lang w:val="en-GB"/>
        </w:rPr>
        <w:t>Two</w:t>
      </w:r>
      <w:r>
        <w:rPr>
          <w:rFonts w:cstheme="minorHAnsi"/>
          <w:lang w:val="en-GB"/>
        </w:rPr>
        <w:t xml:space="preserve"> </w:t>
      </w:r>
      <w:r w:rsidRPr="00FD6C79">
        <w:rPr>
          <w:rFonts w:cstheme="minorHAnsi"/>
          <w:lang w:val="en-GB"/>
        </w:rPr>
        <w:t>3-day training sessions on financial investigations and assets recovery</w:t>
      </w:r>
      <w:r>
        <w:rPr>
          <w:rFonts w:cstheme="minorHAnsi"/>
          <w:lang w:val="en-GB"/>
        </w:rPr>
        <w:t xml:space="preserve"> </w:t>
      </w:r>
      <w:r w:rsidRPr="00FD6C79">
        <w:rPr>
          <w:rFonts w:cstheme="minorHAnsi"/>
          <w:lang w:val="en-GB"/>
        </w:rPr>
        <w:t>- ALEFA handbook (</w:t>
      </w:r>
      <w:hyperlink r:id="rId8" w:history="1">
        <w:r w:rsidRPr="00FD6C79">
          <w:rPr>
            <w:rStyle w:val="Hyperlink"/>
            <w:lang w:val="en-GB"/>
          </w:rPr>
          <w:t>http://www.alefa.eu/ckeditor_uploads/files/165804-ALEFA-E-Publication-updated-14%2003%2019%20v%20edit%20with%20NO%20contacts.pdf</w:t>
        </w:r>
      </w:hyperlink>
      <w:r w:rsidRPr="00FD6C79">
        <w:rPr>
          <w:lang w:val="en-GB"/>
        </w:rPr>
        <w:t>)</w:t>
      </w:r>
    </w:p>
    <w:p w14:paraId="34E9B612" w14:textId="77777777" w:rsidR="0018738A" w:rsidRPr="00FD6C79" w:rsidRDefault="0018738A" w:rsidP="0018738A">
      <w:pPr>
        <w:pStyle w:val="Listparagraf"/>
        <w:autoSpaceDE w:val="0"/>
        <w:autoSpaceDN w:val="0"/>
        <w:adjustRightInd w:val="0"/>
        <w:spacing w:after="0" w:line="240" w:lineRule="auto"/>
        <w:ind w:left="284"/>
        <w:jc w:val="both"/>
        <w:rPr>
          <w:rFonts w:cstheme="minorHAnsi"/>
          <w:lang w:val="en-GB"/>
        </w:rPr>
      </w:pPr>
    </w:p>
    <w:tbl>
      <w:tblPr>
        <w:tblStyle w:val="Tabelgril"/>
        <w:tblW w:w="0" w:type="auto"/>
        <w:tblLook w:val="04A0" w:firstRow="1" w:lastRow="0" w:firstColumn="1" w:lastColumn="0" w:noHBand="0" w:noVBand="1"/>
      </w:tblPr>
      <w:tblGrid>
        <w:gridCol w:w="9062"/>
      </w:tblGrid>
      <w:tr w:rsidR="0018738A" w:rsidRPr="00FD6C79" w14:paraId="204752D3" w14:textId="77777777" w:rsidTr="00CA5083">
        <w:tc>
          <w:tcPr>
            <w:tcW w:w="9062" w:type="dxa"/>
            <w:shd w:val="clear" w:color="auto" w:fill="D9D9D9" w:themeFill="background1" w:themeFillShade="D9"/>
          </w:tcPr>
          <w:p w14:paraId="04FAB03A" w14:textId="77777777" w:rsidR="0018738A" w:rsidRPr="00FD6C79" w:rsidRDefault="0018738A" w:rsidP="00CA5083">
            <w:pPr>
              <w:pStyle w:val="Listparagraf"/>
              <w:autoSpaceDE w:val="0"/>
              <w:autoSpaceDN w:val="0"/>
              <w:adjustRightInd w:val="0"/>
              <w:ind w:left="0"/>
              <w:jc w:val="both"/>
              <w:rPr>
                <w:rFonts w:cstheme="minorHAnsi"/>
                <w:b/>
                <w:lang w:val="en-GB"/>
              </w:rPr>
            </w:pPr>
            <w:r w:rsidRPr="00FD6C79">
              <w:rPr>
                <w:rFonts w:cstheme="minorHAnsi"/>
                <w:b/>
                <w:lang w:val="en-GB"/>
              </w:rPr>
              <w:t>Locations and venues:</w:t>
            </w:r>
          </w:p>
        </w:tc>
      </w:tr>
    </w:tbl>
    <w:p w14:paraId="6B413381" w14:textId="77777777" w:rsidR="0018738A" w:rsidRDefault="0018738A" w:rsidP="0018738A">
      <w:pPr>
        <w:pStyle w:val="Listparagraf"/>
        <w:autoSpaceDE w:val="0"/>
        <w:autoSpaceDN w:val="0"/>
        <w:adjustRightInd w:val="0"/>
        <w:spacing w:before="240" w:after="0" w:line="240" w:lineRule="auto"/>
        <w:ind w:left="0"/>
        <w:jc w:val="both"/>
        <w:rPr>
          <w:rFonts w:cstheme="minorHAnsi"/>
          <w:lang w:val="en-GB"/>
        </w:rPr>
      </w:pPr>
      <w:r w:rsidRPr="00FD6C79">
        <w:rPr>
          <w:rFonts w:cstheme="minorHAnsi"/>
          <w:lang w:val="en-GB"/>
        </w:rPr>
        <w:t>Locations</w:t>
      </w:r>
      <w:r>
        <w:rPr>
          <w:rFonts w:cstheme="minorHAnsi"/>
          <w:lang w:val="en-GB"/>
        </w:rPr>
        <w:t>:</w:t>
      </w:r>
      <w:r w:rsidRPr="00FD6C79">
        <w:rPr>
          <w:rFonts w:cstheme="minorHAnsi"/>
          <w:lang w:val="en-GB"/>
        </w:rPr>
        <w:t xml:space="preserve"> </w:t>
      </w:r>
      <w:r>
        <w:rPr>
          <w:rFonts w:cstheme="minorHAnsi"/>
          <w:lang w:val="en-GB"/>
        </w:rPr>
        <w:t xml:space="preserve">Romania – Galati and </w:t>
      </w:r>
      <w:proofErr w:type="spellStart"/>
      <w:r>
        <w:rPr>
          <w:rFonts w:cstheme="minorHAnsi"/>
          <w:lang w:val="en-GB"/>
        </w:rPr>
        <w:t>Dolj</w:t>
      </w:r>
      <w:proofErr w:type="spellEnd"/>
      <w:r>
        <w:rPr>
          <w:rFonts w:cstheme="minorHAnsi"/>
          <w:lang w:val="en-GB"/>
        </w:rPr>
        <w:t xml:space="preserve"> County </w:t>
      </w:r>
    </w:p>
    <w:p w14:paraId="3F61C750" w14:textId="77777777" w:rsidR="0018738A" w:rsidRPr="00FD6C79" w:rsidRDefault="0018738A" w:rsidP="0018738A">
      <w:pPr>
        <w:pStyle w:val="Listparagraf"/>
        <w:autoSpaceDE w:val="0"/>
        <w:autoSpaceDN w:val="0"/>
        <w:adjustRightInd w:val="0"/>
        <w:spacing w:before="240" w:after="0" w:line="240" w:lineRule="auto"/>
        <w:ind w:left="0"/>
        <w:jc w:val="both"/>
        <w:rPr>
          <w:rFonts w:cstheme="minorHAnsi"/>
          <w:lang w:val="en-GB"/>
        </w:rPr>
      </w:pPr>
      <w:r>
        <w:rPr>
          <w:rFonts w:cstheme="minorHAnsi"/>
          <w:lang w:val="en-GB"/>
        </w:rPr>
        <w:t>V</w:t>
      </w:r>
      <w:r w:rsidRPr="00FD6C79">
        <w:rPr>
          <w:rFonts w:cstheme="minorHAnsi"/>
          <w:lang w:val="en-GB"/>
        </w:rPr>
        <w:t>enues</w:t>
      </w:r>
      <w:r>
        <w:rPr>
          <w:rFonts w:cstheme="minorHAnsi"/>
          <w:lang w:val="en-GB"/>
        </w:rPr>
        <w:t>:</w:t>
      </w:r>
      <w:r w:rsidRPr="00FD6C79">
        <w:rPr>
          <w:rFonts w:cstheme="minorHAnsi"/>
          <w:lang w:val="en-GB"/>
        </w:rPr>
        <w:t xml:space="preserve"> to be confirmed</w:t>
      </w:r>
    </w:p>
    <w:p w14:paraId="25280DD3" w14:textId="77777777" w:rsidR="0018738A" w:rsidRPr="00FD6C79" w:rsidRDefault="0018738A" w:rsidP="0018738A">
      <w:pPr>
        <w:pStyle w:val="Listparagraf"/>
        <w:autoSpaceDE w:val="0"/>
        <w:autoSpaceDN w:val="0"/>
        <w:adjustRightInd w:val="0"/>
        <w:spacing w:after="0" w:line="240" w:lineRule="auto"/>
        <w:ind w:left="0"/>
        <w:jc w:val="both"/>
        <w:rPr>
          <w:rFonts w:cstheme="minorHAnsi"/>
          <w:lang w:val="en-GB"/>
        </w:rPr>
      </w:pPr>
    </w:p>
    <w:tbl>
      <w:tblPr>
        <w:tblStyle w:val="Tabelgril"/>
        <w:tblW w:w="0" w:type="auto"/>
        <w:tblLook w:val="04A0" w:firstRow="1" w:lastRow="0" w:firstColumn="1" w:lastColumn="0" w:noHBand="0" w:noVBand="1"/>
      </w:tblPr>
      <w:tblGrid>
        <w:gridCol w:w="9062"/>
      </w:tblGrid>
      <w:tr w:rsidR="0018738A" w:rsidRPr="00FD6C79" w14:paraId="0000DB8D" w14:textId="77777777" w:rsidTr="00CA5083">
        <w:tc>
          <w:tcPr>
            <w:tcW w:w="9062" w:type="dxa"/>
            <w:shd w:val="clear" w:color="auto" w:fill="D9D9D9" w:themeFill="background1" w:themeFillShade="D9"/>
          </w:tcPr>
          <w:p w14:paraId="0CA70F41" w14:textId="77777777" w:rsidR="0018738A" w:rsidRPr="00FD6C79" w:rsidRDefault="0018738A" w:rsidP="00CA5083">
            <w:pPr>
              <w:pStyle w:val="Listparagraf"/>
              <w:autoSpaceDE w:val="0"/>
              <w:autoSpaceDN w:val="0"/>
              <w:adjustRightInd w:val="0"/>
              <w:ind w:left="0"/>
              <w:jc w:val="both"/>
              <w:rPr>
                <w:rFonts w:cstheme="minorHAnsi"/>
                <w:b/>
                <w:lang w:val="en-GB"/>
              </w:rPr>
            </w:pPr>
            <w:r w:rsidRPr="00FD6C79">
              <w:rPr>
                <w:rFonts w:cstheme="minorHAnsi"/>
                <w:b/>
                <w:lang w:val="en-GB"/>
              </w:rPr>
              <w:t>Working language:</w:t>
            </w:r>
          </w:p>
        </w:tc>
      </w:tr>
    </w:tbl>
    <w:p w14:paraId="3BF366C5" w14:textId="77777777" w:rsidR="0018738A" w:rsidRPr="00FD6C79" w:rsidRDefault="0018738A" w:rsidP="0018738A">
      <w:pPr>
        <w:pStyle w:val="Listparagraf"/>
        <w:autoSpaceDE w:val="0"/>
        <w:autoSpaceDN w:val="0"/>
        <w:adjustRightInd w:val="0"/>
        <w:spacing w:before="240" w:after="0" w:line="240" w:lineRule="auto"/>
        <w:ind w:left="0"/>
        <w:jc w:val="both"/>
        <w:rPr>
          <w:rFonts w:cstheme="minorHAnsi"/>
          <w:lang w:val="en-GB"/>
        </w:rPr>
      </w:pPr>
      <w:r w:rsidRPr="00FD6C79">
        <w:rPr>
          <w:rFonts w:cstheme="minorHAnsi"/>
          <w:lang w:val="en-GB"/>
        </w:rPr>
        <w:t>English</w:t>
      </w:r>
    </w:p>
    <w:p w14:paraId="03BA7667" w14:textId="77777777" w:rsidR="0018738A" w:rsidRPr="00FD6C79" w:rsidRDefault="0018738A" w:rsidP="0018738A">
      <w:pPr>
        <w:pStyle w:val="Listparagraf"/>
        <w:autoSpaceDE w:val="0"/>
        <w:autoSpaceDN w:val="0"/>
        <w:adjustRightInd w:val="0"/>
        <w:spacing w:after="0" w:line="240" w:lineRule="auto"/>
        <w:ind w:left="0"/>
        <w:jc w:val="both"/>
        <w:rPr>
          <w:rFonts w:cstheme="minorHAnsi"/>
          <w:lang w:val="en-GB"/>
        </w:rPr>
      </w:pPr>
    </w:p>
    <w:tbl>
      <w:tblPr>
        <w:tblStyle w:val="Tabelgril"/>
        <w:tblW w:w="0" w:type="auto"/>
        <w:tblLook w:val="04A0" w:firstRow="1" w:lastRow="0" w:firstColumn="1" w:lastColumn="0" w:noHBand="0" w:noVBand="1"/>
      </w:tblPr>
      <w:tblGrid>
        <w:gridCol w:w="9062"/>
      </w:tblGrid>
      <w:tr w:rsidR="0018738A" w:rsidRPr="00FD6C79" w14:paraId="41A4C69D" w14:textId="77777777" w:rsidTr="00CA5083">
        <w:tc>
          <w:tcPr>
            <w:tcW w:w="9062" w:type="dxa"/>
            <w:shd w:val="clear" w:color="auto" w:fill="D9D9D9" w:themeFill="background1" w:themeFillShade="D9"/>
          </w:tcPr>
          <w:p w14:paraId="235CFEB9" w14:textId="77777777" w:rsidR="0018738A" w:rsidRPr="00FD6C79" w:rsidRDefault="0018738A" w:rsidP="00CA5083">
            <w:pPr>
              <w:pStyle w:val="Listparagraf"/>
              <w:autoSpaceDE w:val="0"/>
              <w:autoSpaceDN w:val="0"/>
              <w:adjustRightInd w:val="0"/>
              <w:ind w:left="0"/>
              <w:jc w:val="both"/>
              <w:rPr>
                <w:rFonts w:cstheme="minorHAnsi"/>
                <w:b/>
                <w:lang w:val="en-GB"/>
              </w:rPr>
            </w:pPr>
            <w:r>
              <w:rPr>
                <w:rFonts w:cstheme="minorHAnsi"/>
                <w:b/>
                <w:lang w:val="en-GB"/>
              </w:rPr>
              <w:t>Project description/</w:t>
            </w:r>
            <w:r w:rsidRPr="00FD6C79">
              <w:rPr>
                <w:rFonts w:cstheme="minorHAnsi"/>
                <w:b/>
                <w:lang w:val="en-GB"/>
              </w:rPr>
              <w:t>Context</w:t>
            </w:r>
          </w:p>
        </w:tc>
      </w:tr>
    </w:tbl>
    <w:p w14:paraId="696452D8" w14:textId="77777777" w:rsidR="0018738A" w:rsidRPr="00FD6C79" w:rsidRDefault="0018738A" w:rsidP="0018738A">
      <w:pPr>
        <w:pStyle w:val="Listparagraf"/>
        <w:autoSpaceDE w:val="0"/>
        <w:autoSpaceDN w:val="0"/>
        <w:adjustRightInd w:val="0"/>
        <w:spacing w:after="0" w:line="240" w:lineRule="auto"/>
        <w:ind w:left="0"/>
        <w:jc w:val="both"/>
        <w:rPr>
          <w:rFonts w:cstheme="minorHAnsi"/>
          <w:lang w:val="en-GB"/>
        </w:rPr>
      </w:pPr>
    </w:p>
    <w:p w14:paraId="48CB1231" w14:textId="77777777" w:rsidR="0018738A" w:rsidRPr="00FD6C79" w:rsidRDefault="0018738A" w:rsidP="0018738A">
      <w:pPr>
        <w:pStyle w:val="Listparagraf"/>
        <w:autoSpaceDE w:val="0"/>
        <w:autoSpaceDN w:val="0"/>
        <w:adjustRightInd w:val="0"/>
        <w:spacing w:after="0" w:line="240" w:lineRule="auto"/>
        <w:ind w:left="0"/>
        <w:jc w:val="both"/>
        <w:rPr>
          <w:rFonts w:cstheme="minorHAnsi"/>
          <w:lang w:val="en-GB"/>
        </w:rPr>
      </w:pPr>
      <w:r w:rsidRPr="00FD6C79">
        <w:rPr>
          <w:rFonts w:cstheme="minorHAnsi"/>
          <w:lang w:val="en-GB"/>
        </w:rPr>
        <w:t>The WESTEROS 2 project aims to facilitate and enhance the exchange of knowledge at strategic, operational and policy level among partners following the most recent trends in tackling trafficking in human beings (THB).</w:t>
      </w:r>
    </w:p>
    <w:p w14:paraId="3185C6F5" w14:textId="77777777" w:rsidR="0018738A" w:rsidRPr="00FD6C79" w:rsidRDefault="0018738A" w:rsidP="0018738A">
      <w:pPr>
        <w:pStyle w:val="Listparagraf"/>
        <w:autoSpaceDE w:val="0"/>
        <w:autoSpaceDN w:val="0"/>
        <w:adjustRightInd w:val="0"/>
        <w:spacing w:after="0" w:line="240" w:lineRule="auto"/>
        <w:ind w:left="0"/>
        <w:jc w:val="both"/>
        <w:rPr>
          <w:rFonts w:cstheme="minorHAnsi"/>
          <w:lang w:val="en-GB"/>
        </w:rPr>
      </w:pPr>
    </w:p>
    <w:p w14:paraId="742E60B8" w14:textId="77777777" w:rsidR="0018738A" w:rsidRPr="00FD6C79" w:rsidRDefault="0018738A" w:rsidP="0018738A">
      <w:pPr>
        <w:autoSpaceDE w:val="0"/>
        <w:autoSpaceDN w:val="0"/>
        <w:adjustRightInd w:val="0"/>
        <w:spacing w:after="0" w:line="240" w:lineRule="auto"/>
        <w:jc w:val="both"/>
        <w:rPr>
          <w:rFonts w:cstheme="minorHAnsi"/>
          <w:lang w:val="en-GB"/>
        </w:rPr>
      </w:pPr>
      <w:r w:rsidRPr="00FD6C79">
        <w:rPr>
          <w:rFonts w:cstheme="minorHAnsi"/>
          <w:lang w:val="en-GB"/>
        </w:rPr>
        <w:t xml:space="preserve">Project partners and other involved EU MS law enforcement professionals will benefit from advanced knowledge on how to effectively: identify the illegal financial networks generated by THB and seize/recover the proceeds of crime, improve the hearing techniques in cases of THB  victims for prosecutors, judges and police officers, improve the management of complex cases (co-ordination, investigation strategy, setting up the investigation team), tackle the limits of investigation/prosecution in THB cases, improve the awareness of targeted groups regarding the exploitation in THB cases, use of special investigation techniques at national and European level, organise operations at national or European level and then gather evidence through proper hearing of all actors. </w:t>
      </w:r>
    </w:p>
    <w:p w14:paraId="32416A21" w14:textId="77777777" w:rsidR="0018738A" w:rsidRPr="00FD6C79" w:rsidRDefault="0018738A" w:rsidP="0018738A">
      <w:pPr>
        <w:autoSpaceDE w:val="0"/>
        <w:autoSpaceDN w:val="0"/>
        <w:adjustRightInd w:val="0"/>
        <w:spacing w:after="0" w:line="240" w:lineRule="auto"/>
        <w:jc w:val="both"/>
        <w:rPr>
          <w:rFonts w:cstheme="minorHAnsi"/>
          <w:lang w:val="en-GB"/>
        </w:rPr>
      </w:pPr>
    </w:p>
    <w:tbl>
      <w:tblPr>
        <w:tblStyle w:val="Tabelgril"/>
        <w:tblW w:w="0" w:type="auto"/>
        <w:tblLook w:val="04A0" w:firstRow="1" w:lastRow="0" w:firstColumn="1" w:lastColumn="0" w:noHBand="0" w:noVBand="1"/>
      </w:tblPr>
      <w:tblGrid>
        <w:gridCol w:w="9062"/>
      </w:tblGrid>
      <w:tr w:rsidR="0018738A" w:rsidRPr="00FD6C79" w14:paraId="6C60844E" w14:textId="77777777" w:rsidTr="00CA5083">
        <w:tc>
          <w:tcPr>
            <w:tcW w:w="9062" w:type="dxa"/>
            <w:shd w:val="clear" w:color="auto" w:fill="D9D9D9" w:themeFill="background1" w:themeFillShade="D9"/>
          </w:tcPr>
          <w:p w14:paraId="1291546D" w14:textId="77777777" w:rsidR="0018738A" w:rsidRPr="00FD6C79" w:rsidRDefault="0018738A" w:rsidP="00CA5083">
            <w:pPr>
              <w:autoSpaceDE w:val="0"/>
              <w:autoSpaceDN w:val="0"/>
              <w:adjustRightInd w:val="0"/>
              <w:jc w:val="both"/>
              <w:rPr>
                <w:rFonts w:cstheme="minorHAnsi"/>
                <w:b/>
                <w:lang w:val="en-GB"/>
              </w:rPr>
            </w:pPr>
            <w:r w:rsidRPr="00FD6C79">
              <w:rPr>
                <w:rFonts w:cstheme="minorHAnsi"/>
                <w:b/>
                <w:lang w:val="en-GB"/>
              </w:rPr>
              <w:t>Purpose of the service contracts</w:t>
            </w:r>
          </w:p>
        </w:tc>
      </w:tr>
    </w:tbl>
    <w:p w14:paraId="4DC092B4" w14:textId="77777777" w:rsidR="0018738A" w:rsidRPr="00FD6C79" w:rsidRDefault="0018738A" w:rsidP="0018738A">
      <w:pPr>
        <w:autoSpaceDE w:val="0"/>
        <w:autoSpaceDN w:val="0"/>
        <w:adjustRightInd w:val="0"/>
        <w:spacing w:before="240" w:after="0" w:line="240" w:lineRule="auto"/>
        <w:jc w:val="both"/>
        <w:rPr>
          <w:rFonts w:cstheme="minorHAnsi"/>
          <w:lang w:val="en-GB"/>
        </w:rPr>
      </w:pPr>
      <w:r w:rsidRPr="00FD6C79">
        <w:rPr>
          <w:rFonts w:cstheme="minorHAnsi"/>
          <w:b/>
          <w:lang w:val="en-GB"/>
        </w:rPr>
        <w:t xml:space="preserve">General objective: </w:t>
      </w:r>
      <w:r w:rsidRPr="00FD6C79">
        <w:rPr>
          <w:rFonts w:cstheme="minorHAnsi"/>
          <w:lang w:val="en-GB"/>
        </w:rPr>
        <w:t>To provide law enforcement professionals with the necessary theoretical and practical means and specialised tools for the financial investigations and assets recovery in cases of THB related cases.</w:t>
      </w:r>
    </w:p>
    <w:p w14:paraId="6FC8F2A8" w14:textId="77777777" w:rsidR="0018738A" w:rsidRPr="00FD6C79" w:rsidRDefault="0018738A" w:rsidP="0018738A">
      <w:pPr>
        <w:autoSpaceDE w:val="0"/>
        <w:autoSpaceDN w:val="0"/>
        <w:adjustRightInd w:val="0"/>
        <w:spacing w:after="0" w:line="240" w:lineRule="auto"/>
        <w:jc w:val="both"/>
        <w:rPr>
          <w:rFonts w:cstheme="minorHAnsi"/>
          <w:lang w:val="en-GB"/>
        </w:rPr>
      </w:pPr>
    </w:p>
    <w:p w14:paraId="0B120D1F" w14:textId="77777777" w:rsidR="0018738A" w:rsidRPr="00FD6C79" w:rsidRDefault="0018738A" w:rsidP="0018738A">
      <w:pPr>
        <w:autoSpaceDE w:val="0"/>
        <w:autoSpaceDN w:val="0"/>
        <w:adjustRightInd w:val="0"/>
        <w:spacing w:after="0" w:line="240" w:lineRule="auto"/>
        <w:jc w:val="both"/>
        <w:rPr>
          <w:rFonts w:cstheme="minorHAnsi"/>
          <w:b/>
          <w:lang w:val="en-GB"/>
        </w:rPr>
      </w:pPr>
      <w:r w:rsidRPr="00FD6C79">
        <w:rPr>
          <w:rFonts w:cstheme="minorHAnsi"/>
          <w:b/>
          <w:lang w:val="en-GB"/>
        </w:rPr>
        <w:t>Specific objectives:</w:t>
      </w:r>
    </w:p>
    <w:p w14:paraId="4E8E1BED" w14:textId="77777777" w:rsidR="0018738A" w:rsidRPr="00FD6C79" w:rsidRDefault="0018738A" w:rsidP="0018738A">
      <w:pPr>
        <w:autoSpaceDE w:val="0"/>
        <w:autoSpaceDN w:val="0"/>
        <w:adjustRightInd w:val="0"/>
        <w:spacing w:after="0" w:line="240" w:lineRule="auto"/>
        <w:jc w:val="both"/>
        <w:rPr>
          <w:rFonts w:cstheme="minorHAnsi"/>
          <w:lang w:val="en-GB"/>
        </w:rPr>
      </w:pPr>
      <w:r w:rsidRPr="00FD6C79">
        <w:rPr>
          <w:rFonts w:cstheme="minorHAnsi"/>
          <w:lang w:val="en-GB"/>
        </w:rPr>
        <w:t xml:space="preserve">Two 3-day training sessions on financial investigations and assets recovery – ALEFA handbook. </w:t>
      </w:r>
    </w:p>
    <w:p w14:paraId="3CD23FBF" w14:textId="77777777" w:rsidR="0018738A" w:rsidRPr="00FD6C79" w:rsidRDefault="0018738A" w:rsidP="0018738A">
      <w:pPr>
        <w:autoSpaceDE w:val="0"/>
        <w:autoSpaceDN w:val="0"/>
        <w:adjustRightInd w:val="0"/>
        <w:spacing w:after="0" w:line="240" w:lineRule="auto"/>
        <w:jc w:val="both"/>
        <w:rPr>
          <w:rFonts w:cstheme="minorHAnsi"/>
          <w:lang w:val="en-GB"/>
        </w:rPr>
      </w:pPr>
      <w:r w:rsidRPr="00FD6C79">
        <w:rPr>
          <w:rFonts w:cstheme="minorHAnsi"/>
          <w:lang w:val="en-GB"/>
        </w:rPr>
        <w:t>Each training session will be attended by 25 participants: 7 RO prosecutors, 5 RO Police officers, 3 RO judges, and 5 EU MS including BE and PL practitioners.</w:t>
      </w:r>
    </w:p>
    <w:p w14:paraId="68E44465" w14:textId="77777777" w:rsidR="0018738A" w:rsidRPr="00FD6C79" w:rsidRDefault="0018738A" w:rsidP="0018738A">
      <w:pPr>
        <w:autoSpaceDE w:val="0"/>
        <w:autoSpaceDN w:val="0"/>
        <w:adjustRightInd w:val="0"/>
        <w:spacing w:after="0" w:line="240" w:lineRule="auto"/>
        <w:jc w:val="both"/>
        <w:rPr>
          <w:rFonts w:cstheme="minorHAnsi"/>
          <w:lang w:val="en-GB"/>
        </w:rPr>
      </w:pPr>
    </w:p>
    <w:p w14:paraId="1820D7DF" w14:textId="77777777" w:rsidR="0018738A" w:rsidRPr="00FD6C79" w:rsidRDefault="0018738A" w:rsidP="0018738A">
      <w:pPr>
        <w:autoSpaceDE w:val="0"/>
        <w:autoSpaceDN w:val="0"/>
        <w:adjustRightInd w:val="0"/>
        <w:spacing w:after="0" w:line="240" w:lineRule="auto"/>
        <w:jc w:val="both"/>
        <w:rPr>
          <w:rFonts w:cstheme="minorHAnsi"/>
          <w:b/>
          <w:lang w:val="en-GB"/>
        </w:rPr>
      </w:pPr>
      <w:r w:rsidRPr="00FD6C79">
        <w:rPr>
          <w:rFonts w:cstheme="minorHAnsi"/>
          <w:b/>
          <w:lang w:val="en-GB"/>
        </w:rPr>
        <w:t>Indicators:</w:t>
      </w:r>
    </w:p>
    <w:p w14:paraId="3F063F2F" w14:textId="77777777" w:rsidR="0018738A" w:rsidRPr="00FD6C79" w:rsidRDefault="0018738A" w:rsidP="0018738A">
      <w:pPr>
        <w:autoSpaceDE w:val="0"/>
        <w:autoSpaceDN w:val="0"/>
        <w:adjustRightInd w:val="0"/>
        <w:spacing w:after="0" w:line="240" w:lineRule="auto"/>
        <w:jc w:val="both"/>
        <w:rPr>
          <w:rFonts w:cstheme="minorHAnsi"/>
          <w:lang w:val="en-GB"/>
        </w:rPr>
      </w:pPr>
      <w:r w:rsidRPr="00FD6C79">
        <w:rPr>
          <w:rFonts w:cstheme="minorHAnsi"/>
          <w:lang w:val="en-GB"/>
        </w:rPr>
        <w:t>- 50 practitioners developed skills and learned methods to undertake financial investigations in matters of THB</w:t>
      </w:r>
      <w:r>
        <w:rPr>
          <w:rFonts w:cstheme="minorHAnsi"/>
          <w:lang w:val="en-GB"/>
        </w:rPr>
        <w:t>.</w:t>
      </w:r>
    </w:p>
    <w:p w14:paraId="6DB2B840" w14:textId="77777777" w:rsidR="0018738A" w:rsidRPr="00FD6C79" w:rsidRDefault="0018738A" w:rsidP="0018738A">
      <w:pPr>
        <w:autoSpaceDE w:val="0"/>
        <w:autoSpaceDN w:val="0"/>
        <w:adjustRightInd w:val="0"/>
        <w:spacing w:line="240" w:lineRule="auto"/>
        <w:jc w:val="both"/>
        <w:rPr>
          <w:rFonts w:cstheme="minorHAnsi"/>
          <w:b/>
          <w:lang w:val="en-GB"/>
        </w:rPr>
      </w:pPr>
      <w:r w:rsidRPr="00FD6C79">
        <w:rPr>
          <w:rFonts w:cstheme="minorHAnsi"/>
          <w:lang w:val="en-GB"/>
        </w:rPr>
        <w:t>- Over 70% of the feedback questionnaires have returned positive reviews.</w:t>
      </w:r>
    </w:p>
    <w:tbl>
      <w:tblPr>
        <w:tblStyle w:val="Tabelgril"/>
        <w:tblW w:w="0" w:type="auto"/>
        <w:tblLook w:val="04A0" w:firstRow="1" w:lastRow="0" w:firstColumn="1" w:lastColumn="0" w:noHBand="0" w:noVBand="1"/>
      </w:tblPr>
      <w:tblGrid>
        <w:gridCol w:w="9062"/>
      </w:tblGrid>
      <w:tr w:rsidR="0018738A" w:rsidRPr="00FD6C79" w14:paraId="26E4D287" w14:textId="77777777" w:rsidTr="00CA5083">
        <w:tc>
          <w:tcPr>
            <w:tcW w:w="9062" w:type="dxa"/>
            <w:shd w:val="clear" w:color="auto" w:fill="D0CECE" w:themeFill="background2" w:themeFillShade="E6"/>
          </w:tcPr>
          <w:p w14:paraId="7C5368B5" w14:textId="77777777" w:rsidR="0018738A" w:rsidRPr="00FD6C79" w:rsidRDefault="0018738A" w:rsidP="00CA5083">
            <w:pPr>
              <w:jc w:val="both"/>
              <w:rPr>
                <w:rFonts w:cstheme="minorHAnsi"/>
                <w:b/>
                <w:lang w:val="en-GB"/>
              </w:rPr>
            </w:pPr>
            <w:r w:rsidRPr="00FD6C79">
              <w:rPr>
                <w:rFonts w:cstheme="minorHAnsi"/>
                <w:b/>
                <w:lang w:val="en-GB"/>
              </w:rPr>
              <w:t>Specific tasks performed by the expert</w:t>
            </w:r>
          </w:p>
        </w:tc>
      </w:tr>
    </w:tbl>
    <w:p w14:paraId="336D58BD" w14:textId="77777777" w:rsidR="0018738A" w:rsidRPr="00FD6C79" w:rsidRDefault="0018738A" w:rsidP="0018738A">
      <w:pPr>
        <w:autoSpaceDE w:val="0"/>
        <w:autoSpaceDN w:val="0"/>
        <w:adjustRightInd w:val="0"/>
        <w:spacing w:before="240" w:after="0" w:line="240" w:lineRule="auto"/>
        <w:jc w:val="both"/>
        <w:rPr>
          <w:rFonts w:cstheme="minorHAnsi"/>
          <w:lang w:val="en-GB"/>
        </w:rPr>
      </w:pPr>
      <w:r w:rsidRPr="00FD6C79">
        <w:rPr>
          <w:rFonts w:cstheme="minorHAnsi"/>
          <w:lang w:val="en-GB"/>
        </w:rPr>
        <w:t>1. Design and prepare training materials e.g. presentations, case studies, practical examples</w:t>
      </w:r>
      <w:r>
        <w:rPr>
          <w:rFonts w:cstheme="minorHAnsi"/>
          <w:lang w:val="en-GB"/>
        </w:rPr>
        <w:t>.</w:t>
      </w:r>
    </w:p>
    <w:p w14:paraId="04F22062" w14:textId="77777777" w:rsidR="0018738A" w:rsidRPr="00FD6C79" w:rsidRDefault="0018738A" w:rsidP="0018738A">
      <w:pPr>
        <w:autoSpaceDE w:val="0"/>
        <w:autoSpaceDN w:val="0"/>
        <w:adjustRightInd w:val="0"/>
        <w:spacing w:after="0" w:line="240" w:lineRule="auto"/>
        <w:jc w:val="both"/>
        <w:rPr>
          <w:rFonts w:cstheme="minorHAnsi"/>
          <w:lang w:val="en-GB"/>
        </w:rPr>
      </w:pPr>
      <w:r w:rsidRPr="00FD6C79">
        <w:rPr>
          <w:rFonts w:cstheme="minorHAnsi"/>
          <w:lang w:val="en-GB"/>
        </w:rPr>
        <w:t>2. Contribute to the training agenda</w:t>
      </w:r>
      <w:r>
        <w:rPr>
          <w:rFonts w:cstheme="minorHAnsi"/>
          <w:lang w:val="en-GB"/>
        </w:rPr>
        <w:t>.</w:t>
      </w:r>
    </w:p>
    <w:p w14:paraId="57D0FB49" w14:textId="77777777" w:rsidR="0018738A" w:rsidRPr="00FD6C79" w:rsidRDefault="0018738A" w:rsidP="0018738A">
      <w:pPr>
        <w:autoSpaceDE w:val="0"/>
        <w:autoSpaceDN w:val="0"/>
        <w:adjustRightInd w:val="0"/>
        <w:spacing w:after="0" w:line="240" w:lineRule="auto"/>
        <w:jc w:val="both"/>
        <w:rPr>
          <w:rFonts w:cstheme="minorHAnsi"/>
          <w:lang w:val="en-GB"/>
        </w:rPr>
      </w:pPr>
      <w:r w:rsidRPr="00FD6C79">
        <w:rPr>
          <w:rFonts w:cstheme="minorHAnsi"/>
          <w:lang w:val="en-GB"/>
        </w:rPr>
        <w:t>3. Liaise with the project team and other experts on the training team</w:t>
      </w:r>
      <w:r>
        <w:rPr>
          <w:rFonts w:cstheme="minorHAnsi"/>
          <w:lang w:val="en-GB"/>
        </w:rPr>
        <w:t>.</w:t>
      </w:r>
    </w:p>
    <w:p w14:paraId="0744F564" w14:textId="77777777" w:rsidR="0018738A" w:rsidRPr="00FD6C79" w:rsidRDefault="0018738A" w:rsidP="0018738A">
      <w:pPr>
        <w:autoSpaceDE w:val="0"/>
        <w:autoSpaceDN w:val="0"/>
        <w:adjustRightInd w:val="0"/>
        <w:spacing w:after="0" w:line="240" w:lineRule="auto"/>
        <w:jc w:val="both"/>
        <w:rPr>
          <w:rFonts w:cstheme="minorHAnsi"/>
          <w:lang w:val="en-GB"/>
        </w:rPr>
      </w:pPr>
      <w:r w:rsidRPr="00FD6C79">
        <w:rPr>
          <w:rFonts w:cstheme="minorHAnsi"/>
          <w:lang w:val="en-GB"/>
        </w:rPr>
        <w:t>4. Facilitate the training session and encourage networking among participants</w:t>
      </w:r>
      <w:r>
        <w:rPr>
          <w:rFonts w:cstheme="minorHAnsi"/>
          <w:lang w:val="en-GB"/>
        </w:rPr>
        <w:t>.</w:t>
      </w:r>
    </w:p>
    <w:p w14:paraId="7B86B6F2" w14:textId="77777777" w:rsidR="0018738A" w:rsidRPr="00FD6C79" w:rsidRDefault="0018738A" w:rsidP="0018738A">
      <w:pPr>
        <w:autoSpaceDE w:val="0"/>
        <w:autoSpaceDN w:val="0"/>
        <w:adjustRightInd w:val="0"/>
        <w:spacing w:after="0" w:line="240" w:lineRule="auto"/>
        <w:jc w:val="both"/>
        <w:rPr>
          <w:rFonts w:cstheme="minorHAnsi"/>
          <w:lang w:val="en-GB"/>
        </w:rPr>
      </w:pPr>
      <w:r w:rsidRPr="00FD6C79">
        <w:rPr>
          <w:rFonts w:cstheme="minorHAnsi"/>
          <w:lang w:val="en-GB"/>
        </w:rPr>
        <w:t>5. Prepare and submit a short report with best practices based on training content at the end of each training session.</w:t>
      </w:r>
    </w:p>
    <w:p w14:paraId="7A2555E6" w14:textId="77777777" w:rsidR="0018738A" w:rsidRPr="00FD6C79" w:rsidRDefault="0018738A" w:rsidP="0018738A">
      <w:pPr>
        <w:autoSpaceDE w:val="0"/>
        <w:autoSpaceDN w:val="0"/>
        <w:adjustRightInd w:val="0"/>
        <w:spacing w:after="0" w:line="240" w:lineRule="auto"/>
        <w:jc w:val="both"/>
        <w:rPr>
          <w:rFonts w:cstheme="minorHAnsi"/>
          <w:lang w:val="en-GB"/>
        </w:rPr>
      </w:pPr>
    </w:p>
    <w:tbl>
      <w:tblPr>
        <w:tblStyle w:val="Tabelgril"/>
        <w:tblW w:w="0" w:type="auto"/>
        <w:tblLook w:val="04A0" w:firstRow="1" w:lastRow="0" w:firstColumn="1" w:lastColumn="0" w:noHBand="0" w:noVBand="1"/>
      </w:tblPr>
      <w:tblGrid>
        <w:gridCol w:w="9062"/>
      </w:tblGrid>
      <w:tr w:rsidR="0018738A" w:rsidRPr="00FD6C79" w14:paraId="6A2B5053" w14:textId="77777777" w:rsidTr="00CA5083">
        <w:tc>
          <w:tcPr>
            <w:tcW w:w="9062" w:type="dxa"/>
            <w:shd w:val="clear" w:color="auto" w:fill="D0CECE" w:themeFill="background2" w:themeFillShade="E6"/>
          </w:tcPr>
          <w:p w14:paraId="055D5FA8" w14:textId="77777777" w:rsidR="0018738A" w:rsidRPr="00FD6C79" w:rsidRDefault="0018738A" w:rsidP="00CA5083">
            <w:pPr>
              <w:autoSpaceDE w:val="0"/>
              <w:autoSpaceDN w:val="0"/>
              <w:adjustRightInd w:val="0"/>
              <w:jc w:val="both"/>
              <w:rPr>
                <w:rFonts w:cstheme="minorHAnsi"/>
                <w:b/>
                <w:lang w:val="en-GB"/>
              </w:rPr>
            </w:pPr>
            <w:r w:rsidRPr="00FD6C79">
              <w:rPr>
                <w:rFonts w:cstheme="minorHAnsi"/>
                <w:b/>
                <w:lang w:val="en-GB"/>
              </w:rPr>
              <w:t>Timeframe for the contracts</w:t>
            </w:r>
          </w:p>
        </w:tc>
      </w:tr>
    </w:tbl>
    <w:p w14:paraId="1AB56502" w14:textId="77777777" w:rsidR="0018738A" w:rsidRPr="00FD6C79" w:rsidRDefault="0018738A" w:rsidP="0018738A">
      <w:pPr>
        <w:autoSpaceDE w:val="0"/>
        <w:autoSpaceDN w:val="0"/>
        <w:adjustRightInd w:val="0"/>
        <w:spacing w:before="240" w:after="0" w:line="240" w:lineRule="auto"/>
        <w:jc w:val="both"/>
        <w:rPr>
          <w:rFonts w:cstheme="minorHAnsi"/>
          <w:lang w:val="en-GB"/>
        </w:rPr>
      </w:pPr>
      <w:r>
        <w:rPr>
          <w:rFonts w:cstheme="minorHAnsi"/>
          <w:lang w:val="en-GB"/>
        </w:rPr>
        <w:t>September 2022 –</w:t>
      </w:r>
      <w:r w:rsidRPr="00FD6C79">
        <w:rPr>
          <w:rFonts w:cstheme="minorHAnsi"/>
          <w:lang w:val="en-GB"/>
        </w:rPr>
        <w:t xml:space="preserve"> October</w:t>
      </w:r>
      <w:r>
        <w:rPr>
          <w:rFonts w:cstheme="minorHAnsi"/>
          <w:lang w:val="en-GB"/>
        </w:rPr>
        <w:t xml:space="preserve"> </w:t>
      </w:r>
      <w:r w:rsidRPr="00FD6C79">
        <w:rPr>
          <w:rFonts w:cstheme="minorHAnsi"/>
          <w:lang w:val="en-GB"/>
        </w:rPr>
        <w:t>2022</w:t>
      </w:r>
    </w:p>
    <w:p w14:paraId="3BF0C3EF" w14:textId="77777777" w:rsidR="0018738A" w:rsidRPr="00FD6C79" w:rsidRDefault="0018738A" w:rsidP="0018738A">
      <w:pPr>
        <w:autoSpaceDE w:val="0"/>
        <w:autoSpaceDN w:val="0"/>
        <w:adjustRightInd w:val="0"/>
        <w:spacing w:after="0" w:line="240" w:lineRule="auto"/>
        <w:jc w:val="both"/>
        <w:rPr>
          <w:rFonts w:cstheme="minorHAnsi"/>
          <w:lang w:val="en-GB"/>
        </w:rPr>
      </w:pPr>
    </w:p>
    <w:tbl>
      <w:tblPr>
        <w:tblStyle w:val="Tabelgril"/>
        <w:tblW w:w="0" w:type="auto"/>
        <w:tblLook w:val="04A0" w:firstRow="1" w:lastRow="0" w:firstColumn="1" w:lastColumn="0" w:noHBand="0" w:noVBand="1"/>
      </w:tblPr>
      <w:tblGrid>
        <w:gridCol w:w="9062"/>
      </w:tblGrid>
      <w:tr w:rsidR="0018738A" w:rsidRPr="00FD6C79" w14:paraId="03327B5F" w14:textId="77777777" w:rsidTr="00CA5083">
        <w:tc>
          <w:tcPr>
            <w:tcW w:w="9062" w:type="dxa"/>
            <w:shd w:val="clear" w:color="auto" w:fill="D0CECE" w:themeFill="background2" w:themeFillShade="E6"/>
          </w:tcPr>
          <w:p w14:paraId="1E99893C" w14:textId="77777777" w:rsidR="0018738A" w:rsidRPr="00FD6C79" w:rsidRDefault="0018738A" w:rsidP="00CA5083">
            <w:pPr>
              <w:autoSpaceDE w:val="0"/>
              <w:autoSpaceDN w:val="0"/>
              <w:adjustRightInd w:val="0"/>
              <w:jc w:val="both"/>
              <w:rPr>
                <w:rFonts w:cstheme="minorHAnsi"/>
                <w:b/>
                <w:lang w:val="en-GB"/>
              </w:rPr>
            </w:pPr>
            <w:r w:rsidRPr="00FD6C79">
              <w:rPr>
                <w:rFonts w:cstheme="minorHAnsi"/>
                <w:b/>
                <w:lang w:val="en-GB"/>
              </w:rPr>
              <w:t>Contract budget</w:t>
            </w:r>
          </w:p>
        </w:tc>
      </w:tr>
    </w:tbl>
    <w:p w14:paraId="42B3A44F" w14:textId="77777777" w:rsidR="00D2704F" w:rsidRPr="00D2704F" w:rsidRDefault="0018738A" w:rsidP="00D2704F">
      <w:pPr>
        <w:pStyle w:val="Listparagraf"/>
        <w:numPr>
          <w:ilvl w:val="0"/>
          <w:numId w:val="8"/>
        </w:numPr>
        <w:autoSpaceDE w:val="0"/>
        <w:autoSpaceDN w:val="0"/>
        <w:adjustRightInd w:val="0"/>
        <w:spacing w:before="240" w:line="240" w:lineRule="auto"/>
        <w:ind w:left="284" w:hanging="284"/>
        <w:jc w:val="both"/>
        <w:rPr>
          <w:rFonts w:cstheme="minorHAnsi"/>
          <w:lang w:val="en-GB"/>
        </w:rPr>
      </w:pPr>
      <w:r w:rsidRPr="00D2704F">
        <w:rPr>
          <w:rFonts w:cstheme="minorHAnsi"/>
          <w:lang w:val="en-GB"/>
        </w:rPr>
        <w:t>Expert Fees (taxes included): 3 days/session + 2 days preparation = 5 fees/expert x 350 euros/day including taxes = 1.750 euro/expert/session x 2 experts x 2 sessions = 7.000 euro in total</w:t>
      </w:r>
      <w:r w:rsidR="00D2704F">
        <w:rPr>
          <w:rFonts w:cstheme="minorHAnsi"/>
        </w:rPr>
        <w:t>;</w:t>
      </w:r>
    </w:p>
    <w:p w14:paraId="00B33868" w14:textId="77777777" w:rsidR="00D2704F" w:rsidRPr="00D2704F" w:rsidRDefault="00D2704F" w:rsidP="00D2704F">
      <w:pPr>
        <w:pStyle w:val="Listparagraf"/>
        <w:numPr>
          <w:ilvl w:val="0"/>
          <w:numId w:val="8"/>
        </w:numPr>
        <w:spacing w:before="240" w:line="240" w:lineRule="auto"/>
        <w:ind w:left="284" w:hanging="284"/>
        <w:contextualSpacing w:val="0"/>
        <w:rPr>
          <w:lang w:val="en-US"/>
        </w:rPr>
      </w:pPr>
      <w:r>
        <w:rPr>
          <w:lang w:val="en-US"/>
        </w:rPr>
        <w:lastRenderedPageBreak/>
        <w:t>Travel costs: max. 300 euro/expert x 2 experts x 2 sessions = 1200 euro in total;</w:t>
      </w:r>
    </w:p>
    <w:p w14:paraId="76879FC1" w14:textId="77777777" w:rsidR="00D2704F" w:rsidRDefault="00D2704F" w:rsidP="00D2704F">
      <w:pPr>
        <w:pStyle w:val="Listparagraf"/>
        <w:numPr>
          <w:ilvl w:val="0"/>
          <w:numId w:val="8"/>
        </w:numPr>
        <w:spacing w:after="0" w:line="240" w:lineRule="auto"/>
        <w:ind w:left="284" w:hanging="284"/>
      </w:pPr>
      <w:r w:rsidRPr="00D2704F">
        <w:rPr>
          <w:lang w:val="en-US"/>
        </w:rPr>
        <w:t>Daily subsistence allowance: (max.) 3 overnights/training session x 200 euro = 600 euro/expert x 2 experts x 2 training sessions in Romania = 2400 euro in total. DSA is payable only for experts living in a different city at more than 50 km than the indicated training location.</w:t>
      </w:r>
    </w:p>
    <w:p w14:paraId="4C08B53C" w14:textId="77777777" w:rsidR="0018738A" w:rsidRPr="00FD6C79" w:rsidRDefault="0018738A" w:rsidP="0018738A">
      <w:pPr>
        <w:autoSpaceDE w:val="0"/>
        <w:autoSpaceDN w:val="0"/>
        <w:adjustRightInd w:val="0"/>
        <w:spacing w:after="0" w:line="240" w:lineRule="auto"/>
        <w:jc w:val="both"/>
        <w:rPr>
          <w:rFonts w:cstheme="minorHAnsi"/>
          <w:lang w:val="en-GB"/>
        </w:rPr>
      </w:pPr>
    </w:p>
    <w:tbl>
      <w:tblPr>
        <w:tblStyle w:val="Tabelgril"/>
        <w:tblW w:w="0" w:type="auto"/>
        <w:tblLook w:val="04A0" w:firstRow="1" w:lastRow="0" w:firstColumn="1" w:lastColumn="0" w:noHBand="0" w:noVBand="1"/>
      </w:tblPr>
      <w:tblGrid>
        <w:gridCol w:w="9062"/>
      </w:tblGrid>
      <w:tr w:rsidR="0018738A" w:rsidRPr="00FD6C79" w14:paraId="5DF959EB" w14:textId="77777777" w:rsidTr="00CA5083">
        <w:tc>
          <w:tcPr>
            <w:tcW w:w="9062" w:type="dxa"/>
            <w:shd w:val="clear" w:color="auto" w:fill="D0CECE" w:themeFill="background2" w:themeFillShade="E6"/>
          </w:tcPr>
          <w:p w14:paraId="051DA96C" w14:textId="77777777" w:rsidR="0018738A" w:rsidRPr="00FD6C79" w:rsidRDefault="0018738A" w:rsidP="00CA5083">
            <w:pPr>
              <w:autoSpaceDE w:val="0"/>
              <w:autoSpaceDN w:val="0"/>
              <w:adjustRightInd w:val="0"/>
              <w:jc w:val="both"/>
              <w:rPr>
                <w:rFonts w:cstheme="minorHAnsi"/>
                <w:b/>
                <w:lang w:val="en-GB"/>
              </w:rPr>
            </w:pPr>
            <w:r w:rsidRPr="00FD6C79">
              <w:rPr>
                <w:rFonts w:cstheme="minorHAnsi"/>
                <w:b/>
                <w:lang w:val="en-GB"/>
              </w:rPr>
              <w:t>Profile and qualifications</w:t>
            </w:r>
          </w:p>
        </w:tc>
      </w:tr>
    </w:tbl>
    <w:p w14:paraId="41FB635D" w14:textId="77777777" w:rsidR="0018738A" w:rsidRPr="00FD6C79" w:rsidRDefault="0018738A" w:rsidP="0018738A">
      <w:pPr>
        <w:autoSpaceDE w:val="0"/>
        <w:autoSpaceDN w:val="0"/>
        <w:adjustRightInd w:val="0"/>
        <w:spacing w:after="0" w:line="240" w:lineRule="auto"/>
        <w:jc w:val="both"/>
        <w:rPr>
          <w:rFonts w:cstheme="minorHAnsi"/>
          <w:lang w:val="en-GB"/>
        </w:rPr>
      </w:pPr>
    </w:p>
    <w:p w14:paraId="641FBC34" w14:textId="77777777" w:rsidR="0018738A" w:rsidRPr="00FD6C79" w:rsidRDefault="0018738A" w:rsidP="0018738A">
      <w:pPr>
        <w:autoSpaceDE w:val="0"/>
        <w:autoSpaceDN w:val="0"/>
        <w:adjustRightInd w:val="0"/>
        <w:spacing w:after="0" w:line="240" w:lineRule="auto"/>
        <w:jc w:val="both"/>
        <w:rPr>
          <w:rFonts w:ascii="Calibri" w:hAnsi="Calibri" w:cs="Calibri"/>
          <w:b/>
          <w:lang w:val="en-GB"/>
        </w:rPr>
      </w:pPr>
      <w:r w:rsidRPr="00FD6C79">
        <w:rPr>
          <w:rFonts w:ascii="Calibri" w:hAnsi="Calibri" w:cs="Calibri"/>
          <w:b/>
          <w:lang w:val="en-GB"/>
        </w:rPr>
        <w:t>1.  General requirements</w:t>
      </w:r>
    </w:p>
    <w:p w14:paraId="3083F36E" w14:textId="77777777" w:rsidR="0018738A" w:rsidRPr="00FD6C79" w:rsidRDefault="0018738A" w:rsidP="0018738A">
      <w:pPr>
        <w:pStyle w:val="Listparagraf"/>
        <w:numPr>
          <w:ilvl w:val="3"/>
          <w:numId w:val="2"/>
        </w:numPr>
        <w:autoSpaceDE w:val="0"/>
        <w:autoSpaceDN w:val="0"/>
        <w:adjustRightInd w:val="0"/>
        <w:spacing w:after="0" w:line="240" w:lineRule="auto"/>
        <w:ind w:left="284" w:hanging="284"/>
        <w:jc w:val="both"/>
        <w:rPr>
          <w:rFonts w:ascii="Calibri" w:hAnsi="Calibri" w:cs="Calibri"/>
          <w:lang w:val="en-GB"/>
        </w:rPr>
      </w:pPr>
      <w:r w:rsidRPr="00FD6C79">
        <w:rPr>
          <w:rFonts w:ascii="Calibri" w:hAnsi="Calibri" w:cs="Calibri"/>
          <w:lang w:val="en-GB"/>
        </w:rPr>
        <w:t>Should be an EU citizen, working for a public or private entity (national, regional or international) handling the THB domain, judicial and police international cooperation, as prosecutor, judge, police. Please see Note #2;</w:t>
      </w:r>
    </w:p>
    <w:p w14:paraId="511E82F3" w14:textId="77777777" w:rsidR="0018738A" w:rsidRPr="00FD6C79" w:rsidRDefault="0018738A" w:rsidP="0018738A">
      <w:pPr>
        <w:pStyle w:val="Listparagraf"/>
        <w:numPr>
          <w:ilvl w:val="0"/>
          <w:numId w:val="2"/>
        </w:numPr>
        <w:autoSpaceDE w:val="0"/>
        <w:autoSpaceDN w:val="0"/>
        <w:adjustRightInd w:val="0"/>
        <w:spacing w:after="0" w:line="240" w:lineRule="auto"/>
        <w:ind w:left="284" w:hanging="284"/>
        <w:jc w:val="both"/>
        <w:rPr>
          <w:rFonts w:ascii="Calibri" w:hAnsi="Calibri" w:cs="Calibri"/>
          <w:lang w:val="en-GB"/>
        </w:rPr>
      </w:pPr>
      <w:r w:rsidRPr="00FD6C79">
        <w:rPr>
          <w:rFonts w:ascii="Calibri" w:hAnsi="Calibri" w:cs="Calibri"/>
          <w:lang w:val="en-GB"/>
        </w:rPr>
        <w:t xml:space="preserve">A minimum of </w:t>
      </w:r>
      <w:r>
        <w:rPr>
          <w:rFonts w:ascii="Calibri" w:hAnsi="Calibri" w:cs="Calibri"/>
          <w:lang w:val="en-GB"/>
        </w:rPr>
        <w:t>5</w:t>
      </w:r>
      <w:r w:rsidRPr="00FD6C79">
        <w:rPr>
          <w:rFonts w:ascii="Calibri" w:hAnsi="Calibri" w:cs="Calibri"/>
          <w:lang w:val="en-GB"/>
        </w:rPr>
        <w:t xml:space="preserve"> years of professio</w:t>
      </w:r>
      <w:r>
        <w:rPr>
          <w:rFonts w:ascii="Calibri" w:hAnsi="Calibri" w:cs="Calibri"/>
          <w:lang w:val="en-GB"/>
        </w:rPr>
        <w:t>nal experience as a prosecutor/judge/police/academic/trainer</w:t>
      </w:r>
      <w:r w:rsidRPr="00FD6C79">
        <w:rPr>
          <w:rFonts w:ascii="Calibri" w:hAnsi="Calibri" w:cs="Calibri"/>
          <w:lang w:val="en-GB"/>
        </w:rPr>
        <w:t xml:space="preserve"> and should have a good reputation in the profession;</w:t>
      </w:r>
    </w:p>
    <w:p w14:paraId="1A9282C4" w14:textId="77777777" w:rsidR="0018738A" w:rsidRPr="00FD6C79" w:rsidRDefault="0018738A" w:rsidP="0018738A">
      <w:pPr>
        <w:pStyle w:val="Listparagraf"/>
        <w:numPr>
          <w:ilvl w:val="0"/>
          <w:numId w:val="2"/>
        </w:numPr>
        <w:autoSpaceDE w:val="0"/>
        <w:autoSpaceDN w:val="0"/>
        <w:adjustRightInd w:val="0"/>
        <w:spacing w:after="0" w:line="240" w:lineRule="auto"/>
        <w:ind w:left="284" w:hanging="284"/>
        <w:jc w:val="both"/>
        <w:rPr>
          <w:rFonts w:ascii="Calibri" w:hAnsi="Calibri" w:cs="Calibri"/>
          <w:lang w:val="en-GB"/>
        </w:rPr>
      </w:pPr>
      <w:r w:rsidRPr="00FD6C79">
        <w:rPr>
          <w:rFonts w:ascii="Calibri" w:hAnsi="Calibri" w:cs="Calibri"/>
          <w:lang w:val="en-GB"/>
        </w:rPr>
        <w:t>Excellent presentation skills in English – B2/C1 level;</w:t>
      </w:r>
    </w:p>
    <w:p w14:paraId="01AF4E8E" w14:textId="77777777" w:rsidR="0018738A" w:rsidRPr="00FD6C79" w:rsidRDefault="0018738A" w:rsidP="0018738A">
      <w:pPr>
        <w:pStyle w:val="Listparagraf"/>
        <w:numPr>
          <w:ilvl w:val="0"/>
          <w:numId w:val="2"/>
        </w:numPr>
        <w:autoSpaceDE w:val="0"/>
        <w:autoSpaceDN w:val="0"/>
        <w:adjustRightInd w:val="0"/>
        <w:spacing w:after="0" w:line="240" w:lineRule="auto"/>
        <w:ind w:left="284" w:hanging="284"/>
        <w:jc w:val="both"/>
        <w:rPr>
          <w:rFonts w:ascii="Calibri" w:hAnsi="Calibri" w:cs="Calibri"/>
          <w:lang w:val="en-GB"/>
        </w:rPr>
      </w:pPr>
      <w:r w:rsidRPr="00FD6C79">
        <w:rPr>
          <w:rFonts w:ascii="Calibri" w:hAnsi="Calibri" w:cs="Calibri"/>
          <w:lang w:val="en-GB"/>
        </w:rPr>
        <w:t>Bachelor de</w:t>
      </w:r>
      <w:r>
        <w:rPr>
          <w:rFonts w:ascii="Calibri" w:hAnsi="Calibri" w:cs="Calibri"/>
          <w:lang w:val="en-GB"/>
        </w:rPr>
        <w:t>gree in law or political sciences</w:t>
      </w:r>
      <w:r w:rsidRPr="00FD6C79">
        <w:rPr>
          <w:rFonts w:ascii="Calibri" w:hAnsi="Calibri" w:cs="Calibri"/>
          <w:lang w:val="en-GB"/>
        </w:rPr>
        <w:t>;</w:t>
      </w:r>
    </w:p>
    <w:p w14:paraId="3D655DA6" w14:textId="77777777" w:rsidR="0018738A" w:rsidRPr="00FD6C79" w:rsidRDefault="0018738A" w:rsidP="0018738A">
      <w:pPr>
        <w:pStyle w:val="Listparagraf"/>
        <w:numPr>
          <w:ilvl w:val="0"/>
          <w:numId w:val="2"/>
        </w:numPr>
        <w:autoSpaceDE w:val="0"/>
        <w:autoSpaceDN w:val="0"/>
        <w:adjustRightInd w:val="0"/>
        <w:spacing w:after="0" w:line="240" w:lineRule="auto"/>
        <w:ind w:left="284" w:hanging="284"/>
        <w:jc w:val="both"/>
        <w:rPr>
          <w:rFonts w:ascii="Calibri" w:hAnsi="Calibri" w:cs="Calibri"/>
          <w:lang w:val="en-GB"/>
        </w:rPr>
      </w:pPr>
      <w:r w:rsidRPr="00FD6C79">
        <w:rPr>
          <w:rFonts w:ascii="Calibri" w:hAnsi="Calibri" w:cs="Calibri"/>
          <w:lang w:val="en-GB"/>
        </w:rPr>
        <w:t xml:space="preserve">Master degree </w:t>
      </w:r>
      <w:r>
        <w:rPr>
          <w:rFonts w:ascii="Calibri" w:hAnsi="Calibri" w:cs="Calibri"/>
          <w:lang w:val="en-GB"/>
        </w:rPr>
        <w:t xml:space="preserve">or </w:t>
      </w:r>
      <w:proofErr w:type="spellStart"/>
      <w:r>
        <w:rPr>
          <w:rFonts w:ascii="Calibri" w:hAnsi="Calibri" w:cs="Calibri"/>
          <w:lang w:val="en-GB"/>
        </w:rPr>
        <w:t>Ph.D</w:t>
      </w:r>
      <w:proofErr w:type="spellEnd"/>
      <w:r>
        <w:rPr>
          <w:rFonts w:ascii="Calibri" w:hAnsi="Calibri" w:cs="Calibri"/>
          <w:lang w:val="en-GB"/>
        </w:rPr>
        <w:t xml:space="preserve"> in</w:t>
      </w:r>
      <w:r w:rsidRPr="00FD6C79">
        <w:rPr>
          <w:rFonts w:ascii="Calibri" w:hAnsi="Calibri" w:cs="Calibri"/>
          <w:lang w:val="en-GB"/>
        </w:rPr>
        <w:t xml:space="preserve"> relevant areas as above is considered an advantage;</w:t>
      </w:r>
    </w:p>
    <w:p w14:paraId="74C68EC2" w14:textId="77777777" w:rsidR="0018738A" w:rsidRPr="00FD6C79" w:rsidRDefault="0018738A" w:rsidP="0018738A">
      <w:pPr>
        <w:pStyle w:val="Listparagraf"/>
        <w:numPr>
          <w:ilvl w:val="0"/>
          <w:numId w:val="2"/>
        </w:numPr>
        <w:autoSpaceDE w:val="0"/>
        <w:autoSpaceDN w:val="0"/>
        <w:adjustRightInd w:val="0"/>
        <w:spacing w:after="0" w:line="240" w:lineRule="auto"/>
        <w:ind w:left="284" w:hanging="284"/>
        <w:jc w:val="both"/>
        <w:rPr>
          <w:rFonts w:ascii="Calibri" w:hAnsi="Calibri" w:cs="Calibri"/>
          <w:lang w:val="en-GB"/>
        </w:rPr>
      </w:pPr>
      <w:r w:rsidRPr="00FD6C79">
        <w:rPr>
          <w:rFonts w:ascii="Calibri" w:hAnsi="Calibri" w:cs="Calibri"/>
          <w:lang w:val="en-GB"/>
        </w:rPr>
        <w:t>Project experience is considered an advantage.</w:t>
      </w:r>
    </w:p>
    <w:p w14:paraId="005F9713" w14:textId="77777777" w:rsidR="0018738A" w:rsidRPr="00FD6C79" w:rsidRDefault="0018738A" w:rsidP="0018738A">
      <w:pPr>
        <w:pStyle w:val="Listparagraf"/>
        <w:autoSpaceDE w:val="0"/>
        <w:autoSpaceDN w:val="0"/>
        <w:adjustRightInd w:val="0"/>
        <w:spacing w:after="0" w:line="240" w:lineRule="auto"/>
        <w:ind w:left="284"/>
        <w:jc w:val="both"/>
        <w:rPr>
          <w:rFonts w:ascii="Calibri" w:hAnsi="Calibri" w:cs="Calibri"/>
          <w:lang w:val="en-GB"/>
        </w:rPr>
      </w:pPr>
    </w:p>
    <w:p w14:paraId="6E336B46" w14:textId="77777777" w:rsidR="0018738A" w:rsidRPr="00FD6C79" w:rsidRDefault="0018738A" w:rsidP="0018738A">
      <w:pPr>
        <w:autoSpaceDE w:val="0"/>
        <w:autoSpaceDN w:val="0"/>
        <w:adjustRightInd w:val="0"/>
        <w:spacing w:after="0" w:line="240" w:lineRule="auto"/>
        <w:jc w:val="both"/>
        <w:rPr>
          <w:rFonts w:ascii="Calibri" w:hAnsi="Calibri" w:cs="Calibri"/>
          <w:b/>
          <w:lang w:val="en-GB"/>
        </w:rPr>
      </w:pPr>
      <w:r w:rsidRPr="00FD6C79">
        <w:rPr>
          <w:rFonts w:ascii="Calibri" w:hAnsi="Calibri" w:cs="Calibri"/>
          <w:b/>
          <w:lang w:val="en-GB"/>
        </w:rPr>
        <w:t>2.  Specific requirements</w:t>
      </w:r>
    </w:p>
    <w:p w14:paraId="45A73F30" w14:textId="77777777" w:rsidR="0018738A" w:rsidRPr="00FD6C79" w:rsidRDefault="0018738A" w:rsidP="0018738A">
      <w:pPr>
        <w:pStyle w:val="Listparagraf"/>
        <w:numPr>
          <w:ilvl w:val="0"/>
          <w:numId w:val="2"/>
        </w:numPr>
        <w:autoSpaceDE w:val="0"/>
        <w:autoSpaceDN w:val="0"/>
        <w:adjustRightInd w:val="0"/>
        <w:spacing w:after="0" w:line="240" w:lineRule="auto"/>
        <w:ind w:left="284" w:hanging="284"/>
        <w:jc w:val="both"/>
        <w:rPr>
          <w:rFonts w:ascii="Calibri" w:hAnsi="Calibri" w:cs="Calibri"/>
          <w:lang w:val="en-GB"/>
        </w:rPr>
      </w:pPr>
      <w:r w:rsidRPr="00FD6C79">
        <w:rPr>
          <w:rFonts w:ascii="Calibri" w:hAnsi="Calibri" w:cs="Calibri"/>
          <w:lang w:val="en-GB"/>
        </w:rPr>
        <w:t>A minimum of 1 y</w:t>
      </w:r>
      <w:r>
        <w:rPr>
          <w:rFonts w:ascii="Calibri" w:hAnsi="Calibri" w:cs="Calibri"/>
          <w:lang w:val="en-GB"/>
        </w:rPr>
        <w:t>ear of experience as a trainer/expert/lecturer/</w:t>
      </w:r>
      <w:r w:rsidRPr="00FD6C79">
        <w:rPr>
          <w:rFonts w:ascii="Calibri" w:hAnsi="Calibri" w:cs="Calibri"/>
          <w:lang w:val="en-GB"/>
        </w:rPr>
        <w:t>key-note or guest speaker/rapporteur in working groups in national/international context or a minimum of 5 participations as speaker/trainer in relevant national/international events;</w:t>
      </w:r>
    </w:p>
    <w:p w14:paraId="3C2FE5BC" w14:textId="77777777" w:rsidR="0018738A" w:rsidRPr="00FD6C79" w:rsidRDefault="0018738A" w:rsidP="0018738A">
      <w:pPr>
        <w:pStyle w:val="Listparagraf"/>
        <w:numPr>
          <w:ilvl w:val="0"/>
          <w:numId w:val="2"/>
        </w:numPr>
        <w:autoSpaceDE w:val="0"/>
        <w:autoSpaceDN w:val="0"/>
        <w:adjustRightInd w:val="0"/>
        <w:spacing w:after="0" w:line="240" w:lineRule="auto"/>
        <w:ind w:left="284" w:hanging="284"/>
        <w:jc w:val="both"/>
        <w:rPr>
          <w:rFonts w:ascii="Calibri" w:hAnsi="Calibri" w:cs="Calibri"/>
          <w:lang w:val="en-GB"/>
        </w:rPr>
      </w:pPr>
      <w:r w:rsidRPr="00FD6C79">
        <w:rPr>
          <w:rFonts w:ascii="Calibri" w:hAnsi="Calibri" w:cs="Calibri"/>
          <w:lang w:val="en-GB"/>
        </w:rPr>
        <w:t xml:space="preserve">A minimum of </w:t>
      </w:r>
      <w:r>
        <w:rPr>
          <w:rFonts w:ascii="Calibri" w:hAnsi="Calibri" w:cs="Calibri"/>
          <w:lang w:val="en-GB"/>
        </w:rPr>
        <w:t>3</w:t>
      </w:r>
      <w:r w:rsidRPr="00FD6C79">
        <w:rPr>
          <w:rFonts w:ascii="Calibri" w:hAnsi="Calibri" w:cs="Calibri"/>
          <w:lang w:val="en-GB"/>
        </w:rPr>
        <w:t xml:space="preserve"> years of experience in financial investigation and</w:t>
      </w:r>
      <w:r w:rsidRPr="00EA53A7">
        <w:rPr>
          <w:rFonts w:ascii="Calibri" w:hAnsi="Calibri" w:cs="Calibri"/>
          <w:lang w:val="en-GB"/>
        </w:rPr>
        <w:t>/or</w:t>
      </w:r>
      <w:r w:rsidRPr="00FD6C79">
        <w:rPr>
          <w:rFonts w:ascii="Calibri" w:hAnsi="Calibri" w:cs="Calibri"/>
          <w:lang w:val="en-GB"/>
        </w:rPr>
        <w:t xml:space="preserve"> asset recovery;</w:t>
      </w:r>
    </w:p>
    <w:p w14:paraId="148D3A36" w14:textId="77777777" w:rsidR="0018738A" w:rsidRPr="00FD6C79" w:rsidRDefault="0018738A" w:rsidP="0018738A">
      <w:pPr>
        <w:pStyle w:val="Listparagraf"/>
        <w:numPr>
          <w:ilvl w:val="0"/>
          <w:numId w:val="2"/>
        </w:numPr>
        <w:autoSpaceDE w:val="0"/>
        <w:autoSpaceDN w:val="0"/>
        <w:adjustRightInd w:val="0"/>
        <w:spacing w:after="0" w:line="240" w:lineRule="auto"/>
        <w:ind w:left="284" w:hanging="284"/>
        <w:jc w:val="both"/>
        <w:rPr>
          <w:rFonts w:ascii="Calibri" w:hAnsi="Calibri" w:cs="Calibri"/>
          <w:lang w:val="en-GB"/>
        </w:rPr>
      </w:pPr>
      <w:r>
        <w:rPr>
          <w:rFonts w:ascii="Calibri" w:hAnsi="Calibri" w:cs="Calibri"/>
          <w:lang w:val="en-GB"/>
        </w:rPr>
        <w:t>E</w:t>
      </w:r>
      <w:r w:rsidRPr="00FD6C79">
        <w:rPr>
          <w:rFonts w:ascii="Calibri" w:hAnsi="Calibri" w:cs="Calibri"/>
          <w:lang w:val="en-GB"/>
        </w:rPr>
        <w:t>xperience in THB cases;</w:t>
      </w:r>
    </w:p>
    <w:p w14:paraId="08FEE617" w14:textId="77777777" w:rsidR="0018738A" w:rsidRPr="00FD6C79" w:rsidRDefault="0018738A" w:rsidP="0018738A">
      <w:pPr>
        <w:pStyle w:val="Listparagraf"/>
        <w:numPr>
          <w:ilvl w:val="0"/>
          <w:numId w:val="2"/>
        </w:numPr>
        <w:autoSpaceDE w:val="0"/>
        <w:autoSpaceDN w:val="0"/>
        <w:adjustRightInd w:val="0"/>
        <w:spacing w:after="0" w:line="240" w:lineRule="auto"/>
        <w:ind w:left="284" w:hanging="284"/>
        <w:jc w:val="both"/>
        <w:rPr>
          <w:rFonts w:ascii="Calibri" w:hAnsi="Calibri" w:cs="Calibri"/>
          <w:lang w:val="en-GB"/>
        </w:rPr>
      </w:pPr>
      <w:r w:rsidRPr="00FD6C79">
        <w:rPr>
          <w:rFonts w:ascii="Calibri" w:hAnsi="Calibri" w:cs="Calibri"/>
          <w:lang w:val="en-GB"/>
        </w:rPr>
        <w:t xml:space="preserve">Sound knowledge of EU standards in the project subject matter and a portfolio with at least </w:t>
      </w:r>
      <w:r>
        <w:rPr>
          <w:rFonts w:ascii="Calibri" w:hAnsi="Calibri" w:cs="Calibri"/>
          <w:lang w:val="en-GB"/>
        </w:rPr>
        <w:t>2</w:t>
      </w:r>
      <w:r w:rsidRPr="00FD6C79">
        <w:rPr>
          <w:rFonts w:ascii="Calibri" w:hAnsi="Calibri" w:cs="Calibri"/>
          <w:lang w:val="en-GB"/>
        </w:rPr>
        <w:t xml:space="preserve"> relevant presentations/papers/studies/articles.</w:t>
      </w:r>
    </w:p>
    <w:p w14:paraId="35CDA3DF" w14:textId="77777777" w:rsidR="0018738A" w:rsidRPr="00FD6C79" w:rsidRDefault="0018738A" w:rsidP="0018738A">
      <w:pPr>
        <w:pStyle w:val="Listparagraf"/>
        <w:autoSpaceDE w:val="0"/>
        <w:autoSpaceDN w:val="0"/>
        <w:adjustRightInd w:val="0"/>
        <w:spacing w:after="0" w:line="240" w:lineRule="auto"/>
        <w:ind w:left="284"/>
        <w:jc w:val="both"/>
        <w:rPr>
          <w:rFonts w:ascii="Calibri" w:hAnsi="Calibri" w:cs="Calibri"/>
          <w:lang w:val="en-GB"/>
        </w:rPr>
      </w:pPr>
    </w:p>
    <w:tbl>
      <w:tblPr>
        <w:tblStyle w:val="Tabelgril"/>
        <w:tblW w:w="0" w:type="auto"/>
        <w:tblInd w:w="-5" w:type="dxa"/>
        <w:tblLook w:val="04A0" w:firstRow="1" w:lastRow="0" w:firstColumn="1" w:lastColumn="0" w:noHBand="0" w:noVBand="1"/>
      </w:tblPr>
      <w:tblGrid>
        <w:gridCol w:w="7938"/>
        <w:gridCol w:w="1129"/>
      </w:tblGrid>
      <w:tr w:rsidR="0018738A" w:rsidRPr="00FD6C79" w14:paraId="0DC06B93" w14:textId="77777777" w:rsidTr="00CA5083">
        <w:tc>
          <w:tcPr>
            <w:tcW w:w="7938" w:type="dxa"/>
            <w:shd w:val="clear" w:color="auto" w:fill="D0CECE" w:themeFill="background2" w:themeFillShade="E6"/>
          </w:tcPr>
          <w:p w14:paraId="2D147F99" w14:textId="77777777" w:rsidR="0018738A" w:rsidRPr="00FD6C79" w:rsidRDefault="0018738A" w:rsidP="00CA5083">
            <w:pPr>
              <w:autoSpaceDE w:val="0"/>
              <w:autoSpaceDN w:val="0"/>
              <w:adjustRightInd w:val="0"/>
              <w:jc w:val="both"/>
              <w:rPr>
                <w:rFonts w:ascii="Calibri" w:hAnsi="Calibri" w:cs="Calibri"/>
                <w:b/>
                <w:lang w:val="en-GB"/>
              </w:rPr>
            </w:pPr>
            <w:r w:rsidRPr="00FD6C79">
              <w:rPr>
                <w:rFonts w:ascii="Calibri" w:hAnsi="Calibri" w:cs="Calibri"/>
                <w:b/>
                <w:lang w:val="en-GB"/>
              </w:rPr>
              <w:t xml:space="preserve">Selection criteria (100 points) </w:t>
            </w:r>
          </w:p>
        </w:tc>
        <w:tc>
          <w:tcPr>
            <w:tcW w:w="1129" w:type="dxa"/>
            <w:shd w:val="clear" w:color="auto" w:fill="D0CECE" w:themeFill="background2" w:themeFillShade="E6"/>
          </w:tcPr>
          <w:p w14:paraId="066FE568" w14:textId="77777777" w:rsidR="0018738A" w:rsidRPr="00FD6C79" w:rsidRDefault="0018738A" w:rsidP="00CA5083">
            <w:pPr>
              <w:autoSpaceDE w:val="0"/>
              <w:autoSpaceDN w:val="0"/>
              <w:adjustRightInd w:val="0"/>
              <w:jc w:val="both"/>
              <w:rPr>
                <w:rFonts w:ascii="Calibri" w:hAnsi="Calibri" w:cs="Calibri"/>
                <w:b/>
                <w:lang w:val="en-GB"/>
              </w:rPr>
            </w:pPr>
            <w:r w:rsidRPr="00FD6C79">
              <w:rPr>
                <w:rFonts w:ascii="Calibri" w:hAnsi="Calibri" w:cs="Calibri"/>
                <w:b/>
                <w:lang w:val="en-GB"/>
              </w:rPr>
              <w:t>Points awarded</w:t>
            </w:r>
          </w:p>
        </w:tc>
      </w:tr>
      <w:tr w:rsidR="0018738A" w:rsidRPr="00FD6C79" w14:paraId="51C3C842" w14:textId="77777777" w:rsidTr="00CA5083">
        <w:tc>
          <w:tcPr>
            <w:tcW w:w="7938" w:type="dxa"/>
          </w:tcPr>
          <w:p w14:paraId="29EBA0FF" w14:textId="77777777" w:rsidR="0018738A" w:rsidRPr="00FD6C79" w:rsidRDefault="0018738A" w:rsidP="00CA5083">
            <w:pPr>
              <w:autoSpaceDE w:val="0"/>
              <w:autoSpaceDN w:val="0"/>
              <w:adjustRightInd w:val="0"/>
              <w:jc w:val="both"/>
              <w:rPr>
                <w:rFonts w:cstheme="minorHAnsi"/>
                <w:lang w:val="en-GB"/>
              </w:rPr>
            </w:pPr>
            <w:r w:rsidRPr="00FD6C79">
              <w:rPr>
                <w:rFonts w:cstheme="minorHAnsi"/>
                <w:lang w:val="en-GB"/>
              </w:rPr>
              <w:t xml:space="preserve">Minimum </w:t>
            </w:r>
            <w:r>
              <w:rPr>
                <w:rFonts w:cstheme="minorHAnsi"/>
                <w:lang w:val="en-GB"/>
              </w:rPr>
              <w:t>5</w:t>
            </w:r>
            <w:r w:rsidRPr="00FD6C79">
              <w:rPr>
                <w:rFonts w:cstheme="minorHAnsi"/>
                <w:lang w:val="en-GB"/>
              </w:rPr>
              <w:t xml:space="preserve"> years of overall professional experience as prosecutor/judge/</w:t>
            </w:r>
            <w:r>
              <w:rPr>
                <w:rFonts w:cstheme="minorHAnsi"/>
                <w:lang w:val="en-GB"/>
              </w:rPr>
              <w:t>police</w:t>
            </w:r>
            <w:r w:rsidRPr="00FD6C79">
              <w:rPr>
                <w:rFonts w:cstheme="minorHAnsi"/>
                <w:lang w:val="en-GB"/>
              </w:rPr>
              <w:t xml:space="preserve"> or prosecutor, judge, police working as an academic, as well as a good reputation in the profession</w:t>
            </w:r>
          </w:p>
          <w:p w14:paraId="4F8C3220" w14:textId="77777777" w:rsidR="0018738A" w:rsidRPr="00FD6C79" w:rsidRDefault="0018738A" w:rsidP="00CA5083">
            <w:pPr>
              <w:autoSpaceDE w:val="0"/>
              <w:autoSpaceDN w:val="0"/>
              <w:adjustRightInd w:val="0"/>
              <w:jc w:val="both"/>
              <w:rPr>
                <w:rFonts w:cstheme="minorHAnsi"/>
                <w:i/>
                <w:lang w:val="en-GB"/>
              </w:rPr>
            </w:pPr>
            <w:r w:rsidRPr="00FD6C79">
              <w:rPr>
                <w:rFonts w:cstheme="minorHAnsi"/>
                <w:i/>
                <w:lang w:val="en-GB"/>
              </w:rPr>
              <w:t xml:space="preserve">For </w:t>
            </w:r>
            <w:r>
              <w:rPr>
                <w:rFonts w:cstheme="minorHAnsi"/>
                <w:i/>
                <w:lang w:val="en-GB"/>
              </w:rPr>
              <w:t>5</w:t>
            </w:r>
            <w:r w:rsidRPr="00FD6C79">
              <w:rPr>
                <w:rFonts w:cstheme="minorHAnsi"/>
                <w:i/>
                <w:lang w:val="en-GB"/>
              </w:rPr>
              <w:t xml:space="preserve"> years of professional experience 15 points will be awarded, and each additional year will receive 1 point, up to 20 points</w:t>
            </w:r>
          </w:p>
        </w:tc>
        <w:tc>
          <w:tcPr>
            <w:tcW w:w="1129" w:type="dxa"/>
          </w:tcPr>
          <w:p w14:paraId="506BC725" w14:textId="77777777" w:rsidR="0018738A" w:rsidRPr="00FD6C79" w:rsidRDefault="0018738A" w:rsidP="00CA5083">
            <w:pPr>
              <w:autoSpaceDE w:val="0"/>
              <w:autoSpaceDN w:val="0"/>
              <w:adjustRightInd w:val="0"/>
              <w:jc w:val="both"/>
              <w:rPr>
                <w:rFonts w:cstheme="minorHAnsi"/>
                <w:lang w:val="en-GB"/>
              </w:rPr>
            </w:pPr>
            <w:r w:rsidRPr="00FD6C79">
              <w:rPr>
                <w:rFonts w:cstheme="minorHAnsi"/>
                <w:lang w:val="en-GB"/>
              </w:rPr>
              <w:t>20 points</w:t>
            </w:r>
          </w:p>
        </w:tc>
      </w:tr>
      <w:tr w:rsidR="0018738A" w:rsidRPr="00FD6C79" w14:paraId="5311678F" w14:textId="77777777" w:rsidTr="00CA5083">
        <w:tc>
          <w:tcPr>
            <w:tcW w:w="7938" w:type="dxa"/>
          </w:tcPr>
          <w:p w14:paraId="5EE66271" w14:textId="77777777" w:rsidR="0018738A" w:rsidRPr="00CF14AE" w:rsidRDefault="0018738A" w:rsidP="00CA5083">
            <w:pPr>
              <w:pStyle w:val="Listparagraf"/>
              <w:autoSpaceDE w:val="0"/>
              <w:autoSpaceDN w:val="0"/>
              <w:adjustRightInd w:val="0"/>
              <w:ind w:left="0"/>
              <w:jc w:val="both"/>
              <w:rPr>
                <w:rFonts w:cstheme="minorHAnsi"/>
                <w:lang w:val="en-GB"/>
              </w:rPr>
            </w:pPr>
            <w:r w:rsidRPr="00FD6C79">
              <w:rPr>
                <w:rFonts w:cstheme="minorHAnsi"/>
                <w:lang w:val="en-GB"/>
              </w:rPr>
              <w:t>Minimum of 1 year of sp</w:t>
            </w:r>
            <w:r>
              <w:rPr>
                <w:rFonts w:cstheme="minorHAnsi"/>
                <w:lang w:val="en-GB"/>
              </w:rPr>
              <w:t>ecific experience as a trainer/</w:t>
            </w:r>
            <w:r w:rsidRPr="00FD6C79">
              <w:rPr>
                <w:rFonts w:cstheme="minorHAnsi"/>
                <w:lang w:val="en-GB"/>
              </w:rPr>
              <w:t>expert/lecturer/key-note or guest speaker/rapporteur in working groups,</w:t>
            </w:r>
            <w:r>
              <w:rPr>
                <w:rFonts w:cstheme="minorHAnsi"/>
                <w:lang w:val="en-GB"/>
              </w:rPr>
              <w:t xml:space="preserve"> facilitator in national/</w:t>
            </w:r>
            <w:r w:rsidRPr="00CF14AE">
              <w:rPr>
                <w:rFonts w:cstheme="minorHAnsi"/>
                <w:lang w:val="en-GB"/>
              </w:rPr>
              <w:t>international context or a minimum of 5</w:t>
            </w:r>
            <w:r>
              <w:rPr>
                <w:rFonts w:cstheme="minorHAnsi"/>
                <w:lang w:val="en-GB"/>
              </w:rPr>
              <w:t xml:space="preserve"> </w:t>
            </w:r>
            <w:r w:rsidRPr="00CF14AE">
              <w:rPr>
                <w:rFonts w:cstheme="minorHAnsi"/>
                <w:lang w:val="en-GB"/>
              </w:rPr>
              <w:t>participations as speaker/trainer in relevant national/international events</w:t>
            </w:r>
          </w:p>
          <w:p w14:paraId="475B7A6B" w14:textId="77777777" w:rsidR="0018738A" w:rsidRPr="00FD6C79" w:rsidRDefault="0018738A" w:rsidP="00CA5083">
            <w:pPr>
              <w:pStyle w:val="Listparagraf"/>
              <w:autoSpaceDE w:val="0"/>
              <w:autoSpaceDN w:val="0"/>
              <w:adjustRightInd w:val="0"/>
              <w:ind w:left="0"/>
              <w:jc w:val="both"/>
              <w:rPr>
                <w:rFonts w:cstheme="minorHAnsi"/>
                <w:i/>
                <w:lang w:val="en-GB"/>
              </w:rPr>
            </w:pPr>
            <w:r w:rsidRPr="00FD6C79">
              <w:rPr>
                <w:rFonts w:cstheme="minorHAnsi"/>
                <w:i/>
                <w:lang w:val="en-GB"/>
              </w:rPr>
              <w:t>For 1 year of experience 15 points will be awarded, and each additional year will receive 1 point, up to 20 points or for 5 participations as speaker/trainer in events, 15 points will be awarded, and each additional participation will receive 1 point, up to 20 points</w:t>
            </w:r>
          </w:p>
        </w:tc>
        <w:tc>
          <w:tcPr>
            <w:tcW w:w="1129" w:type="dxa"/>
          </w:tcPr>
          <w:p w14:paraId="1B742DE5" w14:textId="77777777" w:rsidR="0018738A" w:rsidRPr="00FD6C79" w:rsidRDefault="0018738A" w:rsidP="00CA5083">
            <w:pPr>
              <w:pStyle w:val="Listparagraf"/>
              <w:autoSpaceDE w:val="0"/>
              <w:autoSpaceDN w:val="0"/>
              <w:adjustRightInd w:val="0"/>
              <w:ind w:left="0"/>
              <w:jc w:val="both"/>
              <w:rPr>
                <w:rFonts w:cstheme="minorHAnsi"/>
                <w:lang w:val="en-GB"/>
              </w:rPr>
            </w:pPr>
            <w:r w:rsidRPr="00FD6C79">
              <w:rPr>
                <w:rFonts w:cstheme="minorHAnsi"/>
                <w:lang w:val="en-GB"/>
              </w:rPr>
              <w:t>20 points</w:t>
            </w:r>
          </w:p>
        </w:tc>
      </w:tr>
      <w:tr w:rsidR="0018738A" w:rsidRPr="00FD6C79" w14:paraId="6C00A102" w14:textId="77777777" w:rsidTr="00CA5083">
        <w:tc>
          <w:tcPr>
            <w:tcW w:w="7938" w:type="dxa"/>
          </w:tcPr>
          <w:p w14:paraId="5DBEA9B8" w14:textId="77777777" w:rsidR="0018738A" w:rsidRPr="00FD6C79" w:rsidRDefault="0018738A" w:rsidP="00CA5083">
            <w:pPr>
              <w:pStyle w:val="Listparagraf"/>
              <w:autoSpaceDE w:val="0"/>
              <w:autoSpaceDN w:val="0"/>
              <w:adjustRightInd w:val="0"/>
              <w:ind w:left="0"/>
              <w:jc w:val="both"/>
              <w:rPr>
                <w:rFonts w:cstheme="minorHAnsi"/>
                <w:lang w:val="en-GB"/>
              </w:rPr>
            </w:pPr>
            <w:r w:rsidRPr="00FD6C79">
              <w:rPr>
                <w:rFonts w:cstheme="minorHAnsi"/>
                <w:lang w:val="en-GB"/>
              </w:rPr>
              <w:t xml:space="preserve">Minimum of </w:t>
            </w:r>
            <w:r>
              <w:rPr>
                <w:rFonts w:cstheme="minorHAnsi"/>
                <w:lang w:val="en-GB"/>
              </w:rPr>
              <w:t>3</w:t>
            </w:r>
            <w:r w:rsidRPr="00FD6C79">
              <w:rPr>
                <w:rFonts w:cstheme="minorHAnsi"/>
                <w:lang w:val="en-GB"/>
              </w:rPr>
              <w:t xml:space="preserve"> years </w:t>
            </w:r>
            <w:r>
              <w:rPr>
                <w:rFonts w:cstheme="minorHAnsi"/>
                <w:lang w:val="en-GB"/>
              </w:rPr>
              <w:t xml:space="preserve">in financial investigation and </w:t>
            </w:r>
            <w:r w:rsidRPr="00FD6C79">
              <w:rPr>
                <w:rFonts w:cstheme="minorHAnsi"/>
                <w:lang w:val="en-GB"/>
              </w:rPr>
              <w:t>asset recovery</w:t>
            </w:r>
          </w:p>
          <w:p w14:paraId="7681F0B3" w14:textId="77777777" w:rsidR="0018738A" w:rsidRPr="00FD6C79" w:rsidRDefault="0018738A" w:rsidP="00CA5083">
            <w:pPr>
              <w:pStyle w:val="Listparagraf"/>
              <w:autoSpaceDE w:val="0"/>
              <w:autoSpaceDN w:val="0"/>
              <w:adjustRightInd w:val="0"/>
              <w:ind w:left="0"/>
              <w:jc w:val="both"/>
              <w:rPr>
                <w:rFonts w:cstheme="minorHAnsi"/>
                <w:i/>
                <w:lang w:val="en-GB"/>
              </w:rPr>
            </w:pPr>
            <w:r w:rsidRPr="00FD6C79">
              <w:rPr>
                <w:rFonts w:cstheme="minorHAnsi"/>
                <w:i/>
                <w:lang w:val="en-GB"/>
              </w:rPr>
              <w:t xml:space="preserve">For </w:t>
            </w:r>
            <w:r>
              <w:rPr>
                <w:rFonts w:cstheme="minorHAnsi"/>
                <w:i/>
                <w:lang w:val="en-GB"/>
              </w:rPr>
              <w:t>3</w:t>
            </w:r>
            <w:r w:rsidRPr="00FD6C79">
              <w:rPr>
                <w:rFonts w:cstheme="minorHAnsi"/>
                <w:i/>
                <w:lang w:val="en-GB"/>
              </w:rPr>
              <w:t xml:space="preserve"> years of experience 15 points will be awarded, and each additional year will receive 1 point, up to 20 points</w:t>
            </w:r>
          </w:p>
        </w:tc>
        <w:tc>
          <w:tcPr>
            <w:tcW w:w="1129" w:type="dxa"/>
          </w:tcPr>
          <w:p w14:paraId="71FC02B4" w14:textId="77777777" w:rsidR="0018738A" w:rsidRPr="00FD6C79" w:rsidRDefault="0018738A" w:rsidP="00CA5083">
            <w:pPr>
              <w:pStyle w:val="Listparagraf"/>
              <w:autoSpaceDE w:val="0"/>
              <w:autoSpaceDN w:val="0"/>
              <w:adjustRightInd w:val="0"/>
              <w:ind w:left="0"/>
              <w:jc w:val="both"/>
              <w:rPr>
                <w:rFonts w:cstheme="minorHAnsi"/>
                <w:lang w:val="en-GB"/>
              </w:rPr>
            </w:pPr>
            <w:r w:rsidRPr="00FD6C79">
              <w:rPr>
                <w:rFonts w:cstheme="minorHAnsi"/>
                <w:lang w:val="en-GB"/>
              </w:rPr>
              <w:t>20 points</w:t>
            </w:r>
          </w:p>
        </w:tc>
      </w:tr>
      <w:tr w:rsidR="0018738A" w:rsidRPr="00FD6C79" w14:paraId="19EE0C3F" w14:textId="77777777" w:rsidTr="00CA5083">
        <w:tc>
          <w:tcPr>
            <w:tcW w:w="7938" w:type="dxa"/>
          </w:tcPr>
          <w:p w14:paraId="6F2DC009" w14:textId="77777777" w:rsidR="0018738A" w:rsidRPr="00FD6C79" w:rsidRDefault="0018738A" w:rsidP="00CA5083">
            <w:pPr>
              <w:pStyle w:val="Listparagraf"/>
              <w:autoSpaceDE w:val="0"/>
              <w:autoSpaceDN w:val="0"/>
              <w:adjustRightInd w:val="0"/>
              <w:ind w:left="0"/>
              <w:jc w:val="both"/>
              <w:rPr>
                <w:rFonts w:cstheme="minorHAnsi"/>
                <w:lang w:val="en-GB"/>
              </w:rPr>
            </w:pPr>
            <w:r>
              <w:rPr>
                <w:rFonts w:cstheme="minorHAnsi"/>
                <w:lang w:val="en-GB"/>
              </w:rPr>
              <w:t>E</w:t>
            </w:r>
            <w:r w:rsidRPr="00FD6C79">
              <w:rPr>
                <w:rFonts w:cstheme="minorHAnsi"/>
                <w:lang w:val="en-GB"/>
              </w:rPr>
              <w:t>xperience in THB cases</w:t>
            </w:r>
          </w:p>
          <w:p w14:paraId="492D1247" w14:textId="77777777" w:rsidR="0018738A" w:rsidRPr="00FD6C79" w:rsidRDefault="0018738A" w:rsidP="00CA5083">
            <w:pPr>
              <w:pStyle w:val="Listparagraf"/>
              <w:autoSpaceDE w:val="0"/>
              <w:autoSpaceDN w:val="0"/>
              <w:adjustRightInd w:val="0"/>
              <w:ind w:left="0"/>
              <w:jc w:val="both"/>
              <w:rPr>
                <w:rFonts w:cstheme="minorHAnsi"/>
                <w:i/>
                <w:lang w:val="en-GB"/>
              </w:rPr>
            </w:pPr>
            <w:r>
              <w:rPr>
                <w:rFonts w:cstheme="minorHAnsi"/>
                <w:i/>
                <w:lang w:val="en-GB"/>
              </w:rPr>
              <w:lastRenderedPageBreak/>
              <w:t>Up to</w:t>
            </w:r>
            <w:r w:rsidRPr="00FD6C79">
              <w:rPr>
                <w:rFonts w:cstheme="minorHAnsi"/>
                <w:i/>
                <w:lang w:val="en-GB"/>
              </w:rPr>
              <w:t xml:space="preserve"> 1 year of experience </w:t>
            </w:r>
            <w:r>
              <w:rPr>
                <w:rFonts w:cstheme="minorHAnsi"/>
                <w:i/>
                <w:lang w:val="en-GB"/>
              </w:rPr>
              <w:t>5</w:t>
            </w:r>
            <w:r w:rsidRPr="00FD6C79">
              <w:rPr>
                <w:rFonts w:cstheme="minorHAnsi"/>
                <w:i/>
                <w:lang w:val="en-GB"/>
              </w:rPr>
              <w:t xml:space="preserve"> points will be awarded, and each additional year will receive 1 point, up to 15 points</w:t>
            </w:r>
          </w:p>
        </w:tc>
        <w:tc>
          <w:tcPr>
            <w:tcW w:w="1129" w:type="dxa"/>
          </w:tcPr>
          <w:p w14:paraId="6123151E" w14:textId="77777777" w:rsidR="0018738A" w:rsidRPr="00FD6C79" w:rsidRDefault="0018738A" w:rsidP="00CA5083">
            <w:pPr>
              <w:pStyle w:val="Listparagraf"/>
              <w:autoSpaceDE w:val="0"/>
              <w:autoSpaceDN w:val="0"/>
              <w:adjustRightInd w:val="0"/>
              <w:ind w:left="0"/>
              <w:jc w:val="both"/>
              <w:rPr>
                <w:rFonts w:cstheme="minorHAnsi"/>
                <w:lang w:val="en-GB"/>
              </w:rPr>
            </w:pPr>
            <w:r w:rsidRPr="00FD6C79">
              <w:rPr>
                <w:rFonts w:cstheme="minorHAnsi"/>
                <w:lang w:val="en-GB"/>
              </w:rPr>
              <w:lastRenderedPageBreak/>
              <w:t>15 points</w:t>
            </w:r>
          </w:p>
        </w:tc>
      </w:tr>
      <w:tr w:rsidR="0018738A" w:rsidRPr="00FD6C79" w14:paraId="3E680924" w14:textId="77777777" w:rsidTr="00CA5083">
        <w:tc>
          <w:tcPr>
            <w:tcW w:w="7938" w:type="dxa"/>
          </w:tcPr>
          <w:p w14:paraId="5C589963" w14:textId="77777777" w:rsidR="0018738A" w:rsidRPr="00FD6C79" w:rsidRDefault="0018738A" w:rsidP="00CA5083">
            <w:pPr>
              <w:pStyle w:val="Listparagraf"/>
              <w:autoSpaceDE w:val="0"/>
              <w:autoSpaceDN w:val="0"/>
              <w:adjustRightInd w:val="0"/>
              <w:ind w:left="0"/>
              <w:jc w:val="both"/>
              <w:rPr>
                <w:rFonts w:cstheme="minorHAnsi"/>
                <w:lang w:val="en-GB"/>
              </w:rPr>
            </w:pPr>
            <w:r w:rsidRPr="00FD6C79">
              <w:rPr>
                <w:rFonts w:cstheme="minorHAnsi"/>
                <w:lang w:val="en-GB"/>
              </w:rPr>
              <w:t xml:space="preserve">Sound knowledge of EU standards in THB matters and a portfolio with at least </w:t>
            </w:r>
            <w:r>
              <w:rPr>
                <w:rFonts w:cstheme="minorHAnsi"/>
                <w:lang w:val="en-GB"/>
              </w:rPr>
              <w:t>2</w:t>
            </w:r>
            <w:r w:rsidRPr="00FD6C79">
              <w:rPr>
                <w:rFonts w:cstheme="minorHAnsi"/>
                <w:lang w:val="en-GB"/>
              </w:rPr>
              <w:t xml:space="preserve"> relevant presentations/papers/studies/articles that are submitted together with the Cover letter and CV</w:t>
            </w:r>
          </w:p>
          <w:p w14:paraId="4E015643" w14:textId="77777777" w:rsidR="0018738A" w:rsidRPr="00CF14AE" w:rsidRDefault="0018738A" w:rsidP="00CA5083">
            <w:pPr>
              <w:pStyle w:val="Listparagraf"/>
              <w:autoSpaceDE w:val="0"/>
              <w:autoSpaceDN w:val="0"/>
              <w:adjustRightInd w:val="0"/>
              <w:ind w:left="0"/>
              <w:jc w:val="both"/>
              <w:rPr>
                <w:rFonts w:cstheme="minorHAnsi"/>
                <w:i/>
                <w:lang w:val="en-GB"/>
              </w:rPr>
            </w:pPr>
            <w:r w:rsidRPr="00FD6C79">
              <w:rPr>
                <w:rFonts w:cstheme="minorHAnsi"/>
                <w:i/>
                <w:lang w:val="en-GB"/>
              </w:rPr>
              <w:t xml:space="preserve">For </w:t>
            </w:r>
            <w:r>
              <w:rPr>
                <w:rFonts w:cstheme="minorHAnsi"/>
                <w:i/>
                <w:lang w:val="en-GB"/>
              </w:rPr>
              <w:t>2</w:t>
            </w:r>
            <w:r w:rsidRPr="00FD6C79">
              <w:rPr>
                <w:rFonts w:cstheme="minorHAnsi"/>
                <w:i/>
                <w:lang w:val="en-GB"/>
              </w:rPr>
              <w:t xml:space="preserve"> relevant papers 10 points will be awarded, and each additional</w:t>
            </w:r>
            <w:r>
              <w:rPr>
                <w:rFonts w:cstheme="minorHAnsi"/>
                <w:i/>
                <w:lang w:val="en-GB"/>
              </w:rPr>
              <w:t xml:space="preserve"> </w:t>
            </w:r>
            <w:r w:rsidRPr="00FD6C79">
              <w:rPr>
                <w:rFonts w:cstheme="minorHAnsi"/>
                <w:i/>
                <w:lang w:val="en-GB"/>
              </w:rPr>
              <w:t>paper/article will receive 1 point, up to 15 points</w:t>
            </w:r>
          </w:p>
        </w:tc>
        <w:tc>
          <w:tcPr>
            <w:tcW w:w="1129" w:type="dxa"/>
          </w:tcPr>
          <w:p w14:paraId="24572660" w14:textId="77777777" w:rsidR="0018738A" w:rsidRPr="00FD6C79" w:rsidRDefault="0018738A" w:rsidP="00CA5083">
            <w:pPr>
              <w:pStyle w:val="Listparagraf"/>
              <w:autoSpaceDE w:val="0"/>
              <w:autoSpaceDN w:val="0"/>
              <w:adjustRightInd w:val="0"/>
              <w:ind w:left="0"/>
              <w:jc w:val="both"/>
              <w:rPr>
                <w:rFonts w:cstheme="minorHAnsi"/>
                <w:lang w:val="en-GB"/>
              </w:rPr>
            </w:pPr>
            <w:r w:rsidRPr="00FD6C79">
              <w:rPr>
                <w:rFonts w:cstheme="minorHAnsi"/>
                <w:lang w:val="en-GB"/>
              </w:rPr>
              <w:t>15 points</w:t>
            </w:r>
          </w:p>
        </w:tc>
      </w:tr>
      <w:tr w:rsidR="0018738A" w:rsidRPr="00FD6C79" w14:paraId="7A26D4EA" w14:textId="77777777" w:rsidTr="00CA5083">
        <w:tc>
          <w:tcPr>
            <w:tcW w:w="7938" w:type="dxa"/>
          </w:tcPr>
          <w:p w14:paraId="383382DE" w14:textId="77777777" w:rsidR="0018738A" w:rsidRPr="00FD6C79" w:rsidRDefault="0018738A" w:rsidP="00CA5083">
            <w:pPr>
              <w:pStyle w:val="Listparagraf"/>
              <w:autoSpaceDE w:val="0"/>
              <w:autoSpaceDN w:val="0"/>
              <w:adjustRightInd w:val="0"/>
              <w:ind w:left="0"/>
              <w:jc w:val="both"/>
              <w:rPr>
                <w:rFonts w:cstheme="minorHAnsi"/>
                <w:lang w:val="en-GB"/>
              </w:rPr>
            </w:pPr>
            <w:r w:rsidRPr="00FD6C79">
              <w:rPr>
                <w:rFonts w:cstheme="minorHAnsi"/>
                <w:lang w:val="en-GB"/>
              </w:rPr>
              <w:t xml:space="preserve">Fluency in English </w:t>
            </w:r>
            <w:r>
              <w:rPr>
                <w:rFonts w:cstheme="minorHAnsi"/>
                <w:lang w:val="en-GB"/>
              </w:rPr>
              <w:t>–</w:t>
            </w:r>
            <w:r w:rsidRPr="00FD6C79">
              <w:rPr>
                <w:rFonts w:cstheme="minorHAnsi"/>
                <w:lang w:val="en-GB"/>
              </w:rPr>
              <w:t xml:space="preserve"> B2/C1 level</w:t>
            </w:r>
          </w:p>
        </w:tc>
        <w:tc>
          <w:tcPr>
            <w:tcW w:w="1129" w:type="dxa"/>
          </w:tcPr>
          <w:p w14:paraId="2B3061DB" w14:textId="77777777" w:rsidR="0018738A" w:rsidRPr="00FD6C79" w:rsidRDefault="0018738A" w:rsidP="00CA5083">
            <w:pPr>
              <w:pStyle w:val="Listparagraf"/>
              <w:autoSpaceDE w:val="0"/>
              <w:autoSpaceDN w:val="0"/>
              <w:adjustRightInd w:val="0"/>
              <w:ind w:left="0"/>
              <w:jc w:val="both"/>
              <w:rPr>
                <w:rFonts w:cstheme="minorHAnsi"/>
                <w:lang w:val="en-GB"/>
              </w:rPr>
            </w:pPr>
            <w:r w:rsidRPr="00FD6C79">
              <w:rPr>
                <w:rFonts w:cstheme="minorHAnsi"/>
                <w:lang w:val="en-GB"/>
              </w:rPr>
              <w:t>10 points</w:t>
            </w:r>
          </w:p>
        </w:tc>
      </w:tr>
    </w:tbl>
    <w:p w14:paraId="3EC3045A" w14:textId="77777777" w:rsidR="0018738A" w:rsidRPr="00FD6C79" w:rsidRDefault="0018738A" w:rsidP="0018738A">
      <w:pPr>
        <w:pStyle w:val="Listparagraf"/>
        <w:autoSpaceDE w:val="0"/>
        <w:autoSpaceDN w:val="0"/>
        <w:adjustRightInd w:val="0"/>
        <w:spacing w:after="0" w:line="240" w:lineRule="auto"/>
        <w:ind w:left="284"/>
        <w:jc w:val="both"/>
        <w:rPr>
          <w:rFonts w:ascii="Calibri" w:hAnsi="Calibri" w:cs="Calibri"/>
          <w:lang w:val="en-GB"/>
        </w:rPr>
      </w:pPr>
    </w:p>
    <w:p w14:paraId="5A8AC789" w14:textId="77777777" w:rsidR="0018738A" w:rsidRPr="00FD6C79" w:rsidRDefault="0018738A" w:rsidP="0018738A">
      <w:pPr>
        <w:pStyle w:val="Listparagraf"/>
        <w:autoSpaceDE w:val="0"/>
        <w:autoSpaceDN w:val="0"/>
        <w:adjustRightInd w:val="0"/>
        <w:spacing w:after="0" w:line="240" w:lineRule="auto"/>
        <w:ind w:left="0"/>
        <w:jc w:val="both"/>
        <w:rPr>
          <w:rFonts w:ascii="Calibri" w:hAnsi="Calibri" w:cs="Calibri"/>
          <w:lang w:val="en-GB"/>
        </w:rPr>
      </w:pPr>
      <w:r w:rsidRPr="00FD6C79">
        <w:rPr>
          <w:rFonts w:ascii="Calibri" w:hAnsi="Calibri" w:cs="Calibri"/>
          <w:lang w:val="en-GB"/>
        </w:rPr>
        <w:t>Note#1: In order to be considered for selection, a candidate must be awarded minimum 65 points. After the evaluation of all applications, the evaluation committee will rank the applicants in descending order according to the total score obtained, with the applicant receiving the most points being ranked first.</w:t>
      </w:r>
    </w:p>
    <w:p w14:paraId="1915C09E" w14:textId="77777777" w:rsidR="0018738A" w:rsidRPr="00FD6C79" w:rsidRDefault="0018738A" w:rsidP="0018738A">
      <w:pPr>
        <w:pStyle w:val="Listparagraf"/>
        <w:autoSpaceDE w:val="0"/>
        <w:autoSpaceDN w:val="0"/>
        <w:adjustRightInd w:val="0"/>
        <w:spacing w:after="0" w:line="240" w:lineRule="auto"/>
        <w:ind w:left="0"/>
        <w:jc w:val="both"/>
        <w:rPr>
          <w:rFonts w:ascii="Calibri" w:hAnsi="Calibri" w:cs="Calibri"/>
          <w:lang w:val="en-GB"/>
        </w:rPr>
      </w:pPr>
    </w:p>
    <w:tbl>
      <w:tblPr>
        <w:tblStyle w:val="Tabelgril"/>
        <w:tblW w:w="0" w:type="auto"/>
        <w:tblLook w:val="04A0" w:firstRow="1" w:lastRow="0" w:firstColumn="1" w:lastColumn="0" w:noHBand="0" w:noVBand="1"/>
      </w:tblPr>
      <w:tblGrid>
        <w:gridCol w:w="9062"/>
      </w:tblGrid>
      <w:tr w:rsidR="0018738A" w:rsidRPr="00FD6C79" w14:paraId="601CB02A" w14:textId="77777777" w:rsidTr="00CA5083">
        <w:tc>
          <w:tcPr>
            <w:tcW w:w="9062" w:type="dxa"/>
            <w:shd w:val="clear" w:color="auto" w:fill="D0CECE" w:themeFill="background2" w:themeFillShade="E6"/>
          </w:tcPr>
          <w:p w14:paraId="728B2BD0" w14:textId="77777777" w:rsidR="0018738A" w:rsidRPr="00FD6C79" w:rsidRDefault="0018738A" w:rsidP="00CA5083">
            <w:pPr>
              <w:pStyle w:val="Listparagraf"/>
              <w:autoSpaceDE w:val="0"/>
              <w:autoSpaceDN w:val="0"/>
              <w:adjustRightInd w:val="0"/>
              <w:ind w:left="0"/>
              <w:jc w:val="both"/>
              <w:rPr>
                <w:rFonts w:ascii="Calibri" w:hAnsi="Calibri" w:cs="Calibri"/>
                <w:b/>
                <w:lang w:val="en-GB"/>
              </w:rPr>
            </w:pPr>
            <w:r w:rsidRPr="00FD6C79">
              <w:rPr>
                <w:rFonts w:ascii="Calibri" w:hAnsi="Calibri" w:cs="Calibri"/>
                <w:b/>
                <w:lang w:val="en-GB"/>
              </w:rPr>
              <w:t>Requested documents</w:t>
            </w:r>
          </w:p>
        </w:tc>
      </w:tr>
    </w:tbl>
    <w:p w14:paraId="479F20C9" w14:textId="77777777" w:rsidR="0018738A" w:rsidRPr="00FD6C79" w:rsidRDefault="0018738A" w:rsidP="0018738A">
      <w:pPr>
        <w:pStyle w:val="Listparagraf"/>
        <w:autoSpaceDE w:val="0"/>
        <w:autoSpaceDN w:val="0"/>
        <w:adjustRightInd w:val="0"/>
        <w:spacing w:after="0" w:line="240" w:lineRule="auto"/>
        <w:ind w:left="0"/>
        <w:jc w:val="both"/>
        <w:rPr>
          <w:rFonts w:ascii="Calibri" w:hAnsi="Calibri" w:cs="Calibri"/>
          <w:lang w:val="en-GB"/>
        </w:rPr>
      </w:pPr>
    </w:p>
    <w:p w14:paraId="3EB99D94" w14:textId="77777777" w:rsidR="0018738A" w:rsidRPr="00FD6C79" w:rsidRDefault="0018738A" w:rsidP="0018738A">
      <w:pPr>
        <w:pStyle w:val="Listparagraf"/>
        <w:autoSpaceDE w:val="0"/>
        <w:autoSpaceDN w:val="0"/>
        <w:adjustRightInd w:val="0"/>
        <w:spacing w:line="240" w:lineRule="auto"/>
        <w:ind w:left="0"/>
        <w:jc w:val="both"/>
        <w:rPr>
          <w:rFonts w:ascii="Calibri" w:hAnsi="Calibri" w:cs="Calibri"/>
          <w:lang w:val="en-GB"/>
        </w:rPr>
      </w:pPr>
      <w:r w:rsidRPr="00FD6C79">
        <w:rPr>
          <w:rFonts w:ascii="Calibri" w:hAnsi="Calibri" w:cs="Calibri"/>
          <w:lang w:val="en-GB"/>
        </w:rPr>
        <w:t>In order to prove compliance with the above-mentioned requirements, the candidates should submit the following documents (attachments no larger than 10 MB) to the e-mail addresses indicated below:</w:t>
      </w:r>
    </w:p>
    <w:p w14:paraId="71DF1972" w14:textId="77777777" w:rsidR="0018738A" w:rsidRPr="00FD6C79" w:rsidRDefault="0018738A" w:rsidP="0018738A">
      <w:pPr>
        <w:pStyle w:val="Listparagraf"/>
        <w:autoSpaceDE w:val="0"/>
        <w:autoSpaceDN w:val="0"/>
        <w:adjustRightInd w:val="0"/>
        <w:spacing w:line="240" w:lineRule="auto"/>
        <w:ind w:left="0"/>
        <w:jc w:val="both"/>
        <w:rPr>
          <w:rFonts w:ascii="Calibri" w:hAnsi="Calibri" w:cs="Calibri"/>
          <w:lang w:val="en-GB"/>
        </w:rPr>
      </w:pPr>
    </w:p>
    <w:p w14:paraId="16E00CB9" w14:textId="77777777" w:rsidR="0018738A" w:rsidRPr="00FD6C79" w:rsidRDefault="0018738A" w:rsidP="0018738A">
      <w:pPr>
        <w:pStyle w:val="Listparagraf"/>
        <w:autoSpaceDE w:val="0"/>
        <w:autoSpaceDN w:val="0"/>
        <w:adjustRightInd w:val="0"/>
        <w:spacing w:after="0" w:line="240" w:lineRule="auto"/>
        <w:ind w:left="0"/>
        <w:jc w:val="both"/>
        <w:rPr>
          <w:rFonts w:ascii="Calibri" w:hAnsi="Calibri" w:cs="Calibri"/>
          <w:lang w:val="en-GB"/>
        </w:rPr>
      </w:pPr>
      <w:r w:rsidRPr="00FD6C79">
        <w:rPr>
          <w:rFonts w:ascii="Calibri" w:hAnsi="Calibri" w:cs="Calibri"/>
          <w:lang w:val="en-GB"/>
        </w:rPr>
        <w:t>1. Cover letter outlining relevant expertise and experience, intended topics for the training sessions he/she applies for, as well as confirmation of availability for the indicated training schedule; the cover letter should be accompanied by portfolio of relevant personal work;</w:t>
      </w:r>
    </w:p>
    <w:p w14:paraId="2C54D4AC" w14:textId="77777777" w:rsidR="0018738A" w:rsidRPr="00FD6C79" w:rsidRDefault="0018738A" w:rsidP="0018738A">
      <w:pPr>
        <w:pStyle w:val="Listparagraf"/>
        <w:autoSpaceDE w:val="0"/>
        <w:autoSpaceDN w:val="0"/>
        <w:adjustRightInd w:val="0"/>
        <w:spacing w:after="0" w:line="240" w:lineRule="auto"/>
        <w:ind w:left="0"/>
        <w:jc w:val="both"/>
        <w:rPr>
          <w:rFonts w:ascii="Calibri" w:hAnsi="Calibri" w:cs="Calibri"/>
          <w:lang w:val="en-GB"/>
        </w:rPr>
      </w:pPr>
      <w:r w:rsidRPr="00FD6C79">
        <w:rPr>
          <w:rFonts w:ascii="Calibri" w:hAnsi="Calibri" w:cs="Calibri"/>
          <w:lang w:val="en-GB"/>
        </w:rPr>
        <w:t xml:space="preserve">2. Curriculum vitae, preferably </w:t>
      </w:r>
      <w:proofErr w:type="spellStart"/>
      <w:r w:rsidRPr="00FD6C79">
        <w:rPr>
          <w:rFonts w:ascii="Calibri" w:hAnsi="Calibri" w:cs="Calibri"/>
          <w:lang w:val="en-GB"/>
        </w:rPr>
        <w:t>Europass</w:t>
      </w:r>
      <w:proofErr w:type="spellEnd"/>
      <w:r w:rsidRPr="00FD6C79">
        <w:rPr>
          <w:rFonts w:ascii="Calibri" w:hAnsi="Calibri" w:cs="Calibri"/>
          <w:lang w:val="en-GB"/>
        </w:rPr>
        <w:t xml:space="preserve"> format, proving compliance with general and specific requirements;</w:t>
      </w:r>
    </w:p>
    <w:p w14:paraId="4D6F9E8E" w14:textId="77777777" w:rsidR="0018738A" w:rsidRPr="00FD6C79" w:rsidRDefault="0018738A" w:rsidP="0018738A">
      <w:pPr>
        <w:pStyle w:val="Listparagraf"/>
        <w:autoSpaceDE w:val="0"/>
        <w:autoSpaceDN w:val="0"/>
        <w:adjustRightInd w:val="0"/>
        <w:spacing w:after="0" w:line="240" w:lineRule="auto"/>
        <w:ind w:left="0"/>
        <w:jc w:val="both"/>
        <w:rPr>
          <w:rFonts w:ascii="Calibri" w:hAnsi="Calibri" w:cs="Calibri"/>
          <w:lang w:val="en-GB"/>
        </w:rPr>
      </w:pPr>
      <w:r w:rsidRPr="00FD6C79">
        <w:rPr>
          <w:rFonts w:ascii="Calibri" w:hAnsi="Calibri" w:cs="Calibri"/>
          <w:lang w:val="en-GB"/>
        </w:rPr>
        <w:t>3. Copy of the passport/identity card.</w:t>
      </w:r>
    </w:p>
    <w:p w14:paraId="4E227FC8" w14:textId="77777777" w:rsidR="0018738A" w:rsidRPr="00FD6C79" w:rsidRDefault="0018738A" w:rsidP="0018738A">
      <w:pPr>
        <w:pStyle w:val="Listparagraf"/>
        <w:autoSpaceDE w:val="0"/>
        <w:autoSpaceDN w:val="0"/>
        <w:adjustRightInd w:val="0"/>
        <w:spacing w:after="0" w:line="240" w:lineRule="auto"/>
        <w:ind w:left="0"/>
        <w:jc w:val="both"/>
        <w:rPr>
          <w:rFonts w:ascii="Calibri" w:hAnsi="Calibri" w:cs="Calibri"/>
          <w:lang w:val="en-GB"/>
        </w:rPr>
      </w:pPr>
    </w:p>
    <w:p w14:paraId="1C8CFF77" w14:textId="77777777" w:rsidR="0018738A" w:rsidRPr="00FD6C79" w:rsidRDefault="0018738A" w:rsidP="0018738A">
      <w:pPr>
        <w:pStyle w:val="Listparagraf"/>
        <w:autoSpaceDE w:val="0"/>
        <w:autoSpaceDN w:val="0"/>
        <w:adjustRightInd w:val="0"/>
        <w:spacing w:after="0" w:line="240" w:lineRule="auto"/>
        <w:ind w:left="0"/>
        <w:jc w:val="both"/>
        <w:rPr>
          <w:rFonts w:ascii="Calibri" w:hAnsi="Calibri" w:cs="Calibri"/>
          <w:lang w:val="en-GB"/>
        </w:rPr>
      </w:pPr>
      <w:r w:rsidRPr="00FD6C79">
        <w:rPr>
          <w:rFonts w:ascii="Calibri" w:hAnsi="Calibri" w:cs="Calibri"/>
          <w:lang w:val="en-GB"/>
        </w:rPr>
        <w:t>Other documents may be requested during the selection procedure by the selection committee: copies of the relevant university diploma(s), references,</w:t>
      </w:r>
      <w:r w:rsidRPr="00FD6C79">
        <w:rPr>
          <w:lang w:val="en-GB"/>
        </w:rPr>
        <w:t xml:space="preserve"> </w:t>
      </w:r>
      <w:r w:rsidRPr="00FD6C79">
        <w:rPr>
          <w:rFonts w:ascii="Calibri" w:hAnsi="Calibri" w:cs="Calibri"/>
          <w:lang w:val="en-GB"/>
        </w:rPr>
        <w:t>letters of recommendat</w:t>
      </w:r>
      <w:r>
        <w:rPr>
          <w:rFonts w:ascii="Calibri" w:hAnsi="Calibri" w:cs="Calibri"/>
          <w:lang w:val="en-GB"/>
        </w:rPr>
        <w:t>ions from previous work places/</w:t>
      </w:r>
      <w:r w:rsidRPr="00FD6C79">
        <w:rPr>
          <w:rFonts w:ascii="Calibri" w:hAnsi="Calibri" w:cs="Calibri"/>
          <w:lang w:val="en-GB"/>
        </w:rPr>
        <w:t>projects, copies of document(s) proving the professional experience.</w:t>
      </w:r>
    </w:p>
    <w:p w14:paraId="6831299B" w14:textId="77777777" w:rsidR="0018738A" w:rsidRPr="00FD6C79" w:rsidRDefault="0018738A" w:rsidP="0018738A">
      <w:pPr>
        <w:pStyle w:val="Listparagraf"/>
        <w:autoSpaceDE w:val="0"/>
        <w:autoSpaceDN w:val="0"/>
        <w:adjustRightInd w:val="0"/>
        <w:spacing w:after="0" w:line="240" w:lineRule="auto"/>
        <w:ind w:left="0"/>
        <w:jc w:val="both"/>
        <w:rPr>
          <w:rFonts w:ascii="Calibri" w:hAnsi="Calibri" w:cs="Calibri"/>
          <w:lang w:val="en-GB"/>
        </w:rPr>
      </w:pPr>
    </w:p>
    <w:p w14:paraId="4116140C" w14:textId="77777777" w:rsidR="0018738A" w:rsidRPr="00FD6C79" w:rsidRDefault="0018738A" w:rsidP="0018738A">
      <w:pPr>
        <w:autoSpaceDE w:val="0"/>
        <w:autoSpaceDN w:val="0"/>
        <w:adjustRightInd w:val="0"/>
        <w:spacing w:after="0" w:line="240" w:lineRule="auto"/>
        <w:jc w:val="both"/>
        <w:rPr>
          <w:rFonts w:cstheme="minorHAnsi"/>
          <w:lang w:val="en-GB"/>
        </w:rPr>
      </w:pPr>
      <w:r w:rsidRPr="00FD6C79">
        <w:rPr>
          <w:rFonts w:cstheme="minorHAnsi"/>
          <w:lang w:val="en-GB"/>
        </w:rPr>
        <w:t xml:space="preserve">Note #2: According to the rules governing the grant agreement, a subcontracted expert cannot be currently employed by the Romanian Public Ministry – Prosecutor’s Office attached to the High Court of Cassation and Justice or by any of the project partners: Police </w:t>
      </w:r>
      <w:proofErr w:type="spellStart"/>
      <w:r w:rsidRPr="00FD6C79">
        <w:rPr>
          <w:rFonts w:cstheme="minorHAnsi"/>
          <w:lang w:val="en-GB"/>
        </w:rPr>
        <w:t>Federale</w:t>
      </w:r>
      <w:proofErr w:type="spellEnd"/>
      <w:r w:rsidRPr="00FD6C79">
        <w:rPr>
          <w:rFonts w:cstheme="minorHAnsi"/>
          <w:lang w:val="en-GB"/>
        </w:rPr>
        <w:t xml:space="preserve"> </w:t>
      </w:r>
      <w:proofErr w:type="spellStart"/>
      <w:r w:rsidRPr="00FD6C79">
        <w:rPr>
          <w:rFonts w:cstheme="minorHAnsi"/>
          <w:lang w:val="en-GB"/>
        </w:rPr>
        <w:t>Belge</w:t>
      </w:r>
      <w:proofErr w:type="spellEnd"/>
      <w:r w:rsidRPr="00FD6C79">
        <w:rPr>
          <w:rFonts w:cstheme="minorHAnsi"/>
          <w:lang w:val="en-GB"/>
        </w:rPr>
        <w:t xml:space="preserve"> in Belgium, National School of Judiciary and Public Prosecution in Poland (KSSIP PL), Romanian National Agency for the Management of Seized Assets (ANABI), and Romanian National Agency against Trafficking in Persons (ANITP). Also, the subcontracted expert cannot be employed by any EU institution, EU agency or EU body.</w:t>
      </w:r>
    </w:p>
    <w:p w14:paraId="070BEA0D" w14:textId="77777777" w:rsidR="0018738A" w:rsidRPr="00FD6C79" w:rsidRDefault="0018738A" w:rsidP="0018738A">
      <w:pPr>
        <w:pStyle w:val="Listparagraf"/>
        <w:autoSpaceDE w:val="0"/>
        <w:autoSpaceDN w:val="0"/>
        <w:adjustRightInd w:val="0"/>
        <w:spacing w:after="0" w:line="240" w:lineRule="auto"/>
        <w:ind w:left="0"/>
        <w:jc w:val="both"/>
        <w:rPr>
          <w:rFonts w:cstheme="minorHAnsi"/>
          <w:lang w:val="en-GB"/>
        </w:rPr>
      </w:pPr>
    </w:p>
    <w:p w14:paraId="6F1EB875" w14:textId="77777777" w:rsidR="0018738A" w:rsidRPr="00FD6C79" w:rsidRDefault="0018738A" w:rsidP="0018738A">
      <w:pPr>
        <w:spacing w:line="276" w:lineRule="auto"/>
        <w:jc w:val="both"/>
        <w:rPr>
          <w:lang w:val="en-GB"/>
        </w:rPr>
      </w:pPr>
      <w:r w:rsidRPr="004978F0">
        <w:rPr>
          <w:b/>
          <w:lang w:val="en-GB"/>
        </w:rPr>
        <w:t>For any queries</w:t>
      </w:r>
      <w:r w:rsidRPr="00FD6C79">
        <w:rPr>
          <w:lang w:val="en-GB"/>
        </w:rPr>
        <w:t xml:space="preserve">, please contact Ms. </w:t>
      </w:r>
      <w:proofErr w:type="spellStart"/>
      <w:r w:rsidRPr="00FD6C79">
        <w:rPr>
          <w:lang w:val="en-GB"/>
        </w:rPr>
        <w:t>Andreea</w:t>
      </w:r>
      <w:proofErr w:type="spellEnd"/>
      <w:r w:rsidRPr="00FD6C79">
        <w:rPr>
          <w:lang w:val="en-GB"/>
        </w:rPr>
        <w:t xml:space="preserve"> TIRLEA and</w:t>
      </w:r>
      <w:r>
        <w:rPr>
          <w:lang w:val="en-GB"/>
        </w:rPr>
        <w:t>/or</w:t>
      </w:r>
      <w:r w:rsidRPr="00FD6C79">
        <w:rPr>
          <w:lang w:val="en-GB"/>
        </w:rPr>
        <w:t xml:space="preserve"> </w:t>
      </w:r>
      <w:proofErr w:type="spellStart"/>
      <w:r w:rsidRPr="00FD6C79">
        <w:rPr>
          <w:lang w:val="en-GB"/>
        </w:rPr>
        <w:t>Andra</w:t>
      </w:r>
      <w:proofErr w:type="spellEnd"/>
      <w:r w:rsidRPr="00FD6C79">
        <w:rPr>
          <w:lang w:val="en-GB"/>
        </w:rPr>
        <w:t xml:space="preserve"> MITROI, responsible</w:t>
      </w:r>
      <w:r>
        <w:rPr>
          <w:lang w:val="en-GB"/>
        </w:rPr>
        <w:t xml:space="preserve"> persons</w:t>
      </w:r>
      <w:r w:rsidRPr="00FD6C79">
        <w:rPr>
          <w:lang w:val="en-GB"/>
        </w:rPr>
        <w:t xml:space="preserve"> for the technical implementation of the project: </w:t>
      </w:r>
      <w:hyperlink r:id="rId9" w:history="1">
        <w:r w:rsidRPr="0002536C">
          <w:rPr>
            <w:rStyle w:val="Hyperlink"/>
            <w:lang w:val="en-GB"/>
          </w:rPr>
          <w:t>andreea.tirlea@just.ro</w:t>
        </w:r>
      </w:hyperlink>
      <w:r w:rsidRPr="0002536C">
        <w:rPr>
          <w:lang w:val="en-GB"/>
        </w:rPr>
        <w:t xml:space="preserve"> and </w:t>
      </w:r>
      <w:hyperlink r:id="rId10" w:history="1">
        <w:r w:rsidRPr="0002536C">
          <w:rPr>
            <w:rStyle w:val="Hyperlink"/>
            <w:lang w:val="en-GB"/>
          </w:rPr>
          <w:t>andra.mitroi@just.ro</w:t>
        </w:r>
      </w:hyperlink>
      <w:r w:rsidRPr="00FD6C79">
        <w:rPr>
          <w:lang w:val="en-GB"/>
        </w:rPr>
        <w:t>.</w:t>
      </w:r>
    </w:p>
    <w:p w14:paraId="08974224" w14:textId="77777777" w:rsidR="0018738A" w:rsidRPr="00FD6C79" w:rsidRDefault="0018738A" w:rsidP="0018738A">
      <w:pPr>
        <w:pStyle w:val="Listparagraf"/>
        <w:autoSpaceDE w:val="0"/>
        <w:autoSpaceDN w:val="0"/>
        <w:adjustRightInd w:val="0"/>
        <w:spacing w:after="0" w:line="240" w:lineRule="auto"/>
        <w:ind w:left="0"/>
        <w:jc w:val="both"/>
        <w:rPr>
          <w:rFonts w:cstheme="minorHAnsi"/>
          <w:lang w:val="en-GB"/>
        </w:rPr>
      </w:pPr>
      <w:r w:rsidRPr="00FD6C79">
        <w:rPr>
          <w:rFonts w:cstheme="minorHAnsi"/>
          <w:lang w:val="en-GB"/>
        </w:rPr>
        <w:t xml:space="preserve">The applications should be sent by e-mail to the addresses </w:t>
      </w:r>
      <w:hyperlink r:id="rId11" w:history="1">
        <w:r w:rsidRPr="0002536C">
          <w:rPr>
            <w:rStyle w:val="Hyperlink"/>
            <w:rFonts w:cstheme="minorHAnsi"/>
            <w:lang w:val="en-GB"/>
          </w:rPr>
          <w:t>andreea.tirlea@just.ro</w:t>
        </w:r>
      </w:hyperlink>
      <w:r w:rsidRPr="0002536C">
        <w:rPr>
          <w:rFonts w:cstheme="minorHAnsi"/>
          <w:lang w:val="en-GB"/>
        </w:rPr>
        <w:t xml:space="preserve"> </w:t>
      </w:r>
      <w:r w:rsidRPr="00FD6C79">
        <w:rPr>
          <w:rFonts w:cstheme="minorHAnsi"/>
          <w:lang w:val="en-GB"/>
        </w:rPr>
        <w:t xml:space="preserve">and </w:t>
      </w:r>
      <w:hyperlink r:id="rId12" w:history="1">
        <w:r w:rsidRPr="00FD6C79">
          <w:rPr>
            <w:rStyle w:val="Hyperlink"/>
            <w:rFonts w:cstheme="minorHAnsi"/>
            <w:lang w:val="en-GB"/>
          </w:rPr>
          <w:t>andra.mitroi@just.ro</w:t>
        </w:r>
      </w:hyperlink>
      <w:r w:rsidRPr="00FD6C79">
        <w:rPr>
          <w:rFonts w:cstheme="minorHAnsi"/>
          <w:lang w:val="en-GB"/>
        </w:rPr>
        <w:t xml:space="preserve"> no later than </w:t>
      </w:r>
      <w:r>
        <w:rPr>
          <w:rFonts w:cstheme="minorHAnsi"/>
          <w:lang w:val="en-GB"/>
        </w:rPr>
        <w:t>09</w:t>
      </w:r>
      <w:r w:rsidRPr="00FD6C79">
        <w:rPr>
          <w:rFonts w:cstheme="minorHAnsi"/>
          <w:lang w:val="en-GB"/>
        </w:rPr>
        <w:t xml:space="preserve"> September 2022 (end of business) with the following subject line (preferably): WESTEROS 2 – training experts.</w:t>
      </w:r>
    </w:p>
    <w:sectPr w:rsidR="0018738A" w:rsidRPr="00FD6C79">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5C8F1" w14:textId="77777777" w:rsidR="00053E8F" w:rsidRDefault="00053E8F" w:rsidP="00427763">
      <w:pPr>
        <w:spacing w:after="0" w:line="240" w:lineRule="auto"/>
      </w:pPr>
      <w:r>
        <w:separator/>
      </w:r>
    </w:p>
  </w:endnote>
  <w:endnote w:type="continuationSeparator" w:id="0">
    <w:p w14:paraId="0E1C53CB" w14:textId="77777777" w:rsidR="00053E8F" w:rsidRDefault="00053E8F" w:rsidP="00427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IDFont+F11">
    <w:altName w:val="Malgun Gothic Semilight"/>
    <w:panose1 w:val="00000000000000000000"/>
    <w:charset w:val="88"/>
    <w:family w:val="auto"/>
    <w:notTrueType/>
    <w:pitch w:val="default"/>
    <w:sig w:usb0="00000001" w:usb1="08080000" w:usb2="00000010" w:usb3="00000000" w:csb0="001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7">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8159" w14:textId="77777777" w:rsidR="00427763" w:rsidRPr="0024475F" w:rsidRDefault="00427763" w:rsidP="00427763">
    <w:pPr>
      <w:pStyle w:val="Subsol"/>
      <w:tabs>
        <w:tab w:val="clear" w:pos="4536"/>
        <w:tab w:val="clear" w:pos="9072"/>
        <w:tab w:val="left" w:pos="2131"/>
        <w:tab w:val="left" w:pos="2166"/>
      </w:tabs>
      <w:rPr>
        <w:rFonts w:cstheme="minorHAnsi"/>
        <w:lang w:val="en-GB"/>
      </w:rPr>
    </w:pPr>
    <w:r w:rsidRPr="00427763">
      <w:rPr>
        <w:noProof/>
        <w:lang w:eastAsia="ro-RO"/>
      </w:rPr>
      <w:drawing>
        <wp:inline distT="0" distB="0" distL="0" distR="0" wp14:anchorId="6762F225" wp14:editId="59F0513A">
          <wp:extent cx="1009498" cy="6758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11" cy="684403"/>
                  </a:xfrm>
                  <a:prstGeom prst="rect">
                    <a:avLst/>
                  </a:prstGeom>
                  <a:noFill/>
                  <a:ln>
                    <a:noFill/>
                  </a:ln>
                </pic:spPr>
              </pic:pic>
            </a:graphicData>
          </a:graphic>
        </wp:inline>
      </w:drawing>
    </w:r>
    <w:r>
      <w:tab/>
    </w:r>
    <w:r w:rsidR="0099148B" w:rsidRPr="0024475F">
      <w:rPr>
        <w:rFonts w:cstheme="minorHAnsi"/>
        <w:color w:val="C1504D"/>
        <w:lang w:val="en-GB"/>
      </w:rPr>
      <w:t>Co-funded by the European Union’s Internal Security Fund — Police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5788C" w14:textId="77777777" w:rsidR="00053E8F" w:rsidRDefault="00053E8F" w:rsidP="00427763">
      <w:pPr>
        <w:spacing w:after="0" w:line="240" w:lineRule="auto"/>
      </w:pPr>
      <w:r>
        <w:separator/>
      </w:r>
    </w:p>
  </w:footnote>
  <w:footnote w:type="continuationSeparator" w:id="0">
    <w:p w14:paraId="5A6A1162" w14:textId="77777777" w:rsidR="00053E8F" w:rsidRDefault="00053E8F" w:rsidP="00427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AC13" w14:textId="77777777" w:rsidR="0099148B" w:rsidRDefault="004206C7" w:rsidP="008062BE">
    <w:pPr>
      <w:pStyle w:val="Antet"/>
      <w:jc w:val="center"/>
      <w:rPr>
        <w:b/>
        <w:color w:val="FF0000"/>
        <w:lang w:val="en-GB"/>
      </w:rPr>
    </w:pPr>
    <w:r>
      <w:rPr>
        <w:b/>
        <w:noProof/>
        <w:color w:val="FF0000"/>
        <w:lang w:eastAsia="ro-RO"/>
      </w:rPr>
      <w:drawing>
        <wp:anchor distT="0" distB="0" distL="114300" distR="114300" simplePos="0" relativeHeight="251659264" behindDoc="1" locked="0" layoutInCell="1" allowOverlap="1" wp14:anchorId="05C538C8" wp14:editId="7A201690">
          <wp:simplePos x="0" y="0"/>
          <wp:positionH relativeFrom="margin">
            <wp:posOffset>5170805</wp:posOffset>
          </wp:positionH>
          <wp:positionV relativeFrom="paragraph">
            <wp:posOffset>-88265</wp:posOffset>
          </wp:positionV>
          <wp:extent cx="734695" cy="701040"/>
          <wp:effectExtent l="0" t="0" r="8255" b="3810"/>
          <wp:wrapTight wrapText="bothSides">
            <wp:wrapPolygon edited="0">
              <wp:start x="0" y="0"/>
              <wp:lineTo x="0" y="21130"/>
              <wp:lineTo x="21283" y="21130"/>
              <wp:lineTo x="21283" y="0"/>
              <wp:lineTo x="0" y="0"/>
            </wp:wrapPolygon>
          </wp:wrapTight>
          <wp:docPr id="4" name="Picture 4" descr="C:\Users\andra.mitroi\AppData\Local\Microsoft\Windows\INetCache\Content.MSO\20CC6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ra.mitroi\AppData\Local\Microsoft\Windows\INetCache\Content.MSO\20CC6CA.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695" cy="701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06C7">
      <w:rPr>
        <w:b/>
        <w:noProof/>
        <w:color w:val="FF0000"/>
        <w:lang w:eastAsia="ro-RO"/>
      </w:rPr>
      <w:drawing>
        <wp:anchor distT="0" distB="0" distL="114300" distR="114300" simplePos="0" relativeHeight="251658240" behindDoc="1" locked="0" layoutInCell="1" allowOverlap="1" wp14:anchorId="3C0E7E36" wp14:editId="130CA6AD">
          <wp:simplePos x="0" y="0"/>
          <wp:positionH relativeFrom="column">
            <wp:posOffset>-549275</wp:posOffset>
          </wp:positionH>
          <wp:positionV relativeFrom="paragraph">
            <wp:posOffset>-215900</wp:posOffset>
          </wp:positionV>
          <wp:extent cx="3582670" cy="924560"/>
          <wp:effectExtent l="0" t="0" r="0" b="8890"/>
          <wp:wrapTight wrapText="bothSides">
            <wp:wrapPolygon edited="0">
              <wp:start x="0" y="0"/>
              <wp:lineTo x="0" y="21363"/>
              <wp:lineTo x="21477" y="21363"/>
              <wp:lineTo x="21477" y="0"/>
              <wp:lineTo x="0" y="0"/>
            </wp:wrapPolygon>
          </wp:wrapTight>
          <wp:docPr id="3" name="Picture 3" descr="C:\Users\andra.mitroi\AppData\Local\Microsoft\Windows\INetCache\Content.Outlook\IYV3L2U0\anabi_logo_vector refacut stema noua EN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dra.mitroi\AppData\Local\Microsoft\Windows\INetCache\Content.Outlook\IYV3L2U0\anabi_logo_vector refacut stema noua EN (00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82670" cy="924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B513D8" w14:textId="77777777" w:rsidR="004206C7" w:rsidRDefault="004206C7" w:rsidP="008062BE">
    <w:pPr>
      <w:pStyle w:val="Antet"/>
      <w:jc w:val="center"/>
      <w:rPr>
        <w:b/>
        <w:color w:val="FF0000"/>
        <w:lang w:val="en-GB"/>
      </w:rPr>
    </w:pPr>
  </w:p>
  <w:p w14:paraId="53C70F1F" w14:textId="77777777" w:rsidR="004206C7" w:rsidRDefault="004206C7" w:rsidP="008062BE">
    <w:pPr>
      <w:pStyle w:val="Antet"/>
      <w:jc w:val="center"/>
      <w:rPr>
        <w:b/>
        <w:color w:val="FF0000"/>
        <w:lang w:val="en-GB"/>
      </w:rPr>
    </w:pPr>
  </w:p>
  <w:p w14:paraId="169C074F" w14:textId="77777777" w:rsidR="004206C7" w:rsidRDefault="004206C7" w:rsidP="008062BE">
    <w:pPr>
      <w:pStyle w:val="Antet"/>
      <w:jc w:val="center"/>
      <w:rPr>
        <w:b/>
        <w:color w:val="FF0000"/>
        <w:lang w:val="en-GB"/>
      </w:rPr>
    </w:pPr>
  </w:p>
  <w:p w14:paraId="7AD11C84" w14:textId="77777777" w:rsidR="004206C7" w:rsidRPr="0024475F" w:rsidRDefault="004206C7" w:rsidP="004206C7">
    <w:pPr>
      <w:pStyle w:val="Antet"/>
      <w:tabs>
        <w:tab w:val="left" w:pos="1306"/>
      </w:tabs>
      <w:rPr>
        <w:b/>
        <w:color w:val="FF0000"/>
        <w:lang w:val="en-GB"/>
      </w:rPr>
    </w:pPr>
    <w:r w:rsidRPr="0024475F">
      <w:rPr>
        <w:b/>
        <w:color w:val="FF0000"/>
        <w:lang w:val="en-GB"/>
      </w:rPr>
      <w:tab/>
    </w:r>
  </w:p>
  <w:p w14:paraId="433FE458" w14:textId="77777777" w:rsidR="0099148B" w:rsidRPr="0099148B" w:rsidRDefault="0099148B" w:rsidP="0099148B">
    <w:pPr>
      <w:pStyle w:val="Antet"/>
      <w:jc w:val="center"/>
      <w:rPr>
        <w:rFonts w:cstheme="minorHAnsi"/>
        <w:b/>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3FB2"/>
    <w:multiLevelType w:val="hybridMultilevel"/>
    <w:tmpl w:val="CCF0BA3E"/>
    <w:lvl w:ilvl="0" w:tplc="9AD68F52">
      <w:numFmt w:val="bullet"/>
      <w:lvlText w:val=""/>
      <w:lvlJc w:val="left"/>
      <w:pPr>
        <w:ind w:left="720" w:hanging="360"/>
      </w:pPr>
      <w:rPr>
        <w:rFonts w:ascii="Calibri" w:eastAsia="CIDFont+F11"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7762D5A"/>
    <w:multiLevelType w:val="hybridMultilevel"/>
    <w:tmpl w:val="86701386"/>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1F94337F"/>
    <w:multiLevelType w:val="hybridMultilevel"/>
    <w:tmpl w:val="B80AD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41C2748"/>
    <w:multiLevelType w:val="hybridMultilevel"/>
    <w:tmpl w:val="FD6001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9BB4878"/>
    <w:multiLevelType w:val="hybridMultilevel"/>
    <w:tmpl w:val="575E2FC2"/>
    <w:lvl w:ilvl="0" w:tplc="80B66F40">
      <w:start w:val="4"/>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53441190"/>
    <w:multiLevelType w:val="hybridMultilevel"/>
    <w:tmpl w:val="9334B820"/>
    <w:lvl w:ilvl="0" w:tplc="2C2054C2">
      <w:start w:val="1"/>
      <w:numFmt w:val="decimal"/>
      <w:lvlText w:val="%1."/>
      <w:lvlJc w:val="left"/>
      <w:pPr>
        <w:ind w:left="360" w:hanging="360"/>
      </w:pPr>
      <w:rPr>
        <w:rFonts w:hint="default"/>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53C91485"/>
    <w:multiLevelType w:val="hybridMultilevel"/>
    <w:tmpl w:val="4352371E"/>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79EE02BA"/>
    <w:multiLevelType w:val="hybridMultilevel"/>
    <w:tmpl w:val="8EEA5344"/>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16cid:durableId="1046218069">
    <w:abstractNumId w:val="4"/>
  </w:num>
  <w:num w:numId="2" w16cid:durableId="1462845653">
    <w:abstractNumId w:val="6"/>
  </w:num>
  <w:num w:numId="3" w16cid:durableId="532959810">
    <w:abstractNumId w:val="0"/>
  </w:num>
  <w:num w:numId="4" w16cid:durableId="1017195928">
    <w:abstractNumId w:val="1"/>
  </w:num>
  <w:num w:numId="5" w16cid:durableId="1940867202">
    <w:abstractNumId w:val="5"/>
  </w:num>
  <w:num w:numId="6" w16cid:durableId="1783644327">
    <w:abstractNumId w:val="7"/>
  </w:num>
  <w:num w:numId="7" w16cid:durableId="1906186305">
    <w:abstractNumId w:val="2"/>
  </w:num>
  <w:num w:numId="8" w16cid:durableId="19204018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EE3"/>
    <w:rsid w:val="00000672"/>
    <w:rsid w:val="00003955"/>
    <w:rsid w:val="00023CAF"/>
    <w:rsid w:val="0002536C"/>
    <w:rsid w:val="00053E8F"/>
    <w:rsid w:val="000735EC"/>
    <w:rsid w:val="000A1ADC"/>
    <w:rsid w:val="000A65DC"/>
    <w:rsid w:val="000C36A5"/>
    <w:rsid w:val="000D2B53"/>
    <w:rsid w:val="000E7792"/>
    <w:rsid w:val="000F7497"/>
    <w:rsid w:val="0013276A"/>
    <w:rsid w:val="00132B64"/>
    <w:rsid w:val="00155F57"/>
    <w:rsid w:val="00167FDB"/>
    <w:rsid w:val="00175F8C"/>
    <w:rsid w:val="0018738A"/>
    <w:rsid w:val="001A083F"/>
    <w:rsid w:val="001B05EE"/>
    <w:rsid w:val="001B7A4A"/>
    <w:rsid w:val="001C7BDC"/>
    <w:rsid w:val="001D1C0F"/>
    <w:rsid w:val="001E6D28"/>
    <w:rsid w:val="0024475F"/>
    <w:rsid w:val="00254D53"/>
    <w:rsid w:val="0026352B"/>
    <w:rsid w:val="00283A8F"/>
    <w:rsid w:val="0028587C"/>
    <w:rsid w:val="00296F3F"/>
    <w:rsid w:val="002A3104"/>
    <w:rsid w:val="002B73A3"/>
    <w:rsid w:val="002E2DC9"/>
    <w:rsid w:val="002F7837"/>
    <w:rsid w:val="00304C3F"/>
    <w:rsid w:val="0030561B"/>
    <w:rsid w:val="00317F5D"/>
    <w:rsid w:val="00347576"/>
    <w:rsid w:val="00347B4F"/>
    <w:rsid w:val="00350CC8"/>
    <w:rsid w:val="003666C9"/>
    <w:rsid w:val="00384DFA"/>
    <w:rsid w:val="003B42BF"/>
    <w:rsid w:val="003C4ABC"/>
    <w:rsid w:val="003D4B8C"/>
    <w:rsid w:val="003E0F2B"/>
    <w:rsid w:val="003E658E"/>
    <w:rsid w:val="003F0FC0"/>
    <w:rsid w:val="004206C7"/>
    <w:rsid w:val="00420908"/>
    <w:rsid w:val="00427763"/>
    <w:rsid w:val="00434057"/>
    <w:rsid w:val="00435C0F"/>
    <w:rsid w:val="004441A3"/>
    <w:rsid w:val="0046250E"/>
    <w:rsid w:val="00466047"/>
    <w:rsid w:val="00467226"/>
    <w:rsid w:val="00475C03"/>
    <w:rsid w:val="00482C79"/>
    <w:rsid w:val="00491F8C"/>
    <w:rsid w:val="00493563"/>
    <w:rsid w:val="0049478F"/>
    <w:rsid w:val="0049580B"/>
    <w:rsid w:val="004978F0"/>
    <w:rsid w:val="004D040F"/>
    <w:rsid w:val="004D261B"/>
    <w:rsid w:val="004F78E9"/>
    <w:rsid w:val="00504B60"/>
    <w:rsid w:val="00505961"/>
    <w:rsid w:val="00524DD2"/>
    <w:rsid w:val="00533668"/>
    <w:rsid w:val="00536812"/>
    <w:rsid w:val="00540773"/>
    <w:rsid w:val="005517B8"/>
    <w:rsid w:val="00574F87"/>
    <w:rsid w:val="005978BD"/>
    <w:rsid w:val="005A6331"/>
    <w:rsid w:val="005B3747"/>
    <w:rsid w:val="005F5412"/>
    <w:rsid w:val="006364B4"/>
    <w:rsid w:val="00641158"/>
    <w:rsid w:val="00645C00"/>
    <w:rsid w:val="00652106"/>
    <w:rsid w:val="00660E91"/>
    <w:rsid w:val="006610E5"/>
    <w:rsid w:val="00671BEF"/>
    <w:rsid w:val="00683768"/>
    <w:rsid w:val="006912B1"/>
    <w:rsid w:val="006A3DCD"/>
    <w:rsid w:val="006B6DBB"/>
    <w:rsid w:val="006F0A28"/>
    <w:rsid w:val="007040F1"/>
    <w:rsid w:val="00705C36"/>
    <w:rsid w:val="00727628"/>
    <w:rsid w:val="0074697C"/>
    <w:rsid w:val="007712F7"/>
    <w:rsid w:val="0078279C"/>
    <w:rsid w:val="00784262"/>
    <w:rsid w:val="00784A81"/>
    <w:rsid w:val="007A36C5"/>
    <w:rsid w:val="007B2FA8"/>
    <w:rsid w:val="007B7233"/>
    <w:rsid w:val="007B7CE5"/>
    <w:rsid w:val="00803CCE"/>
    <w:rsid w:val="008062BE"/>
    <w:rsid w:val="0083235D"/>
    <w:rsid w:val="00851182"/>
    <w:rsid w:val="00861529"/>
    <w:rsid w:val="00892D28"/>
    <w:rsid w:val="008A3EA5"/>
    <w:rsid w:val="008A76A4"/>
    <w:rsid w:val="008B3B9F"/>
    <w:rsid w:val="008C2E6A"/>
    <w:rsid w:val="008C30BA"/>
    <w:rsid w:val="008F5CA3"/>
    <w:rsid w:val="009000DD"/>
    <w:rsid w:val="009257B5"/>
    <w:rsid w:val="00951213"/>
    <w:rsid w:val="00976B8E"/>
    <w:rsid w:val="00985DB5"/>
    <w:rsid w:val="0099148B"/>
    <w:rsid w:val="00995DFD"/>
    <w:rsid w:val="009A6604"/>
    <w:rsid w:val="009F46E7"/>
    <w:rsid w:val="009F72BE"/>
    <w:rsid w:val="00A2199A"/>
    <w:rsid w:val="00A23B51"/>
    <w:rsid w:val="00A24D3F"/>
    <w:rsid w:val="00A25918"/>
    <w:rsid w:val="00A340F1"/>
    <w:rsid w:val="00A60CE8"/>
    <w:rsid w:val="00A740EC"/>
    <w:rsid w:val="00A82354"/>
    <w:rsid w:val="00A968EF"/>
    <w:rsid w:val="00AB522C"/>
    <w:rsid w:val="00AC0ACE"/>
    <w:rsid w:val="00AE60C8"/>
    <w:rsid w:val="00B01143"/>
    <w:rsid w:val="00B24A2F"/>
    <w:rsid w:val="00B27427"/>
    <w:rsid w:val="00B31D57"/>
    <w:rsid w:val="00B42FEA"/>
    <w:rsid w:val="00B556B6"/>
    <w:rsid w:val="00B76269"/>
    <w:rsid w:val="00BA531F"/>
    <w:rsid w:val="00BA6EBB"/>
    <w:rsid w:val="00BB257A"/>
    <w:rsid w:val="00BD0A5B"/>
    <w:rsid w:val="00BD511A"/>
    <w:rsid w:val="00BD7846"/>
    <w:rsid w:val="00BE6855"/>
    <w:rsid w:val="00BF3FB1"/>
    <w:rsid w:val="00BF6072"/>
    <w:rsid w:val="00C02490"/>
    <w:rsid w:val="00C10443"/>
    <w:rsid w:val="00C12263"/>
    <w:rsid w:val="00C2384C"/>
    <w:rsid w:val="00C31186"/>
    <w:rsid w:val="00C62ACC"/>
    <w:rsid w:val="00C66F12"/>
    <w:rsid w:val="00C81095"/>
    <w:rsid w:val="00C84365"/>
    <w:rsid w:val="00C87BEE"/>
    <w:rsid w:val="00C87E7A"/>
    <w:rsid w:val="00C90C4F"/>
    <w:rsid w:val="00CA1CC1"/>
    <w:rsid w:val="00CD2EEA"/>
    <w:rsid w:val="00CE5538"/>
    <w:rsid w:val="00CF14AE"/>
    <w:rsid w:val="00CF6D32"/>
    <w:rsid w:val="00D01A2F"/>
    <w:rsid w:val="00D10BEE"/>
    <w:rsid w:val="00D12CC4"/>
    <w:rsid w:val="00D256DA"/>
    <w:rsid w:val="00D2704F"/>
    <w:rsid w:val="00D42C0D"/>
    <w:rsid w:val="00D7305C"/>
    <w:rsid w:val="00D8159A"/>
    <w:rsid w:val="00D85640"/>
    <w:rsid w:val="00D9480C"/>
    <w:rsid w:val="00DB1068"/>
    <w:rsid w:val="00DF3357"/>
    <w:rsid w:val="00E0006A"/>
    <w:rsid w:val="00E02332"/>
    <w:rsid w:val="00E22BE7"/>
    <w:rsid w:val="00E33226"/>
    <w:rsid w:val="00E55D60"/>
    <w:rsid w:val="00E60939"/>
    <w:rsid w:val="00E61BAD"/>
    <w:rsid w:val="00E623F8"/>
    <w:rsid w:val="00E645D5"/>
    <w:rsid w:val="00E7760D"/>
    <w:rsid w:val="00E93BC4"/>
    <w:rsid w:val="00E945C9"/>
    <w:rsid w:val="00EA53A7"/>
    <w:rsid w:val="00EA7B16"/>
    <w:rsid w:val="00EB754B"/>
    <w:rsid w:val="00EC1588"/>
    <w:rsid w:val="00ED16A2"/>
    <w:rsid w:val="00ED4F29"/>
    <w:rsid w:val="00EE3A91"/>
    <w:rsid w:val="00EF5EE3"/>
    <w:rsid w:val="00F066F9"/>
    <w:rsid w:val="00F06BD0"/>
    <w:rsid w:val="00F15F1F"/>
    <w:rsid w:val="00F24786"/>
    <w:rsid w:val="00F26E32"/>
    <w:rsid w:val="00F367EF"/>
    <w:rsid w:val="00F41C11"/>
    <w:rsid w:val="00F60B72"/>
    <w:rsid w:val="00F67E41"/>
    <w:rsid w:val="00F70C26"/>
    <w:rsid w:val="00F82D12"/>
    <w:rsid w:val="00FA1095"/>
    <w:rsid w:val="00FB251E"/>
    <w:rsid w:val="00FB7D9A"/>
    <w:rsid w:val="00FC31F4"/>
    <w:rsid w:val="00FD6C79"/>
    <w:rsid w:val="00FE4C76"/>
    <w:rsid w:val="00FF455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9B591"/>
  <w15:chartTrackingRefBased/>
  <w15:docId w15:val="{5DEF425E-7F42-4D31-B3FC-861A59FB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918"/>
  </w:style>
  <w:style w:type="paragraph" w:styleId="Titlu2">
    <w:name w:val="heading 2"/>
    <w:basedOn w:val="Normal"/>
    <w:next w:val="Normal"/>
    <w:link w:val="Titlu2Caracter"/>
    <w:uiPriority w:val="9"/>
    <w:unhideWhenUsed/>
    <w:qFormat/>
    <w:rsid w:val="00BF60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2776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427763"/>
  </w:style>
  <w:style w:type="paragraph" w:styleId="Subsol">
    <w:name w:val="footer"/>
    <w:basedOn w:val="Normal"/>
    <w:link w:val="SubsolCaracter"/>
    <w:uiPriority w:val="99"/>
    <w:unhideWhenUsed/>
    <w:rsid w:val="0042776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427763"/>
  </w:style>
  <w:style w:type="table" w:styleId="Tabelgril">
    <w:name w:val="Table Grid"/>
    <w:basedOn w:val="TabelNormal"/>
    <w:uiPriority w:val="39"/>
    <w:rsid w:val="00427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E0006A"/>
    <w:rPr>
      <w:color w:val="0563C1" w:themeColor="hyperlink"/>
      <w:u w:val="single"/>
    </w:rPr>
  </w:style>
  <w:style w:type="paragraph" w:styleId="Listparagraf">
    <w:name w:val="List Paragraph"/>
    <w:basedOn w:val="Normal"/>
    <w:uiPriority w:val="34"/>
    <w:qFormat/>
    <w:rsid w:val="000E7792"/>
    <w:pPr>
      <w:ind w:left="720"/>
      <w:contextualSpacing/>
    </w:pPr>
  </w:style>
  <w:style w:type="paragraph" w:styleId="TextnBalon">
    <w:name w:val="Balloon Text"/>
    <w:basedOn w:val="Normal"/>
    <w:link w:val="TextnBalonCaracter"/>
    <w:uiPriority w:val="99"/>
    <w:semiHidden/>
    <w:unhideWhenUsed/>
    <w:rsid w:val="001A083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A083F"/>
    <w:rPr>
      <w:rFonts w:ascii="Segoe UI" w:hAnsi="Segoe UI" w:cs="Segoe UI"/>
      <w:sz w:val="18"/>
      <w:szCs w:val="18"/>
    </w:rPr>
  </w:style>
  <w:style w:type="character" w:styleId="Referincomentariu">
    <w:name w:val="annotation reference"/>
    <w:basedOn w:val="Fontdeparagrafimplicit"/>
    <w:uiPriority w:val="99"/>
    <w:semiHidden/>
    <w:unhideWhenUsed/>
    <w:rsid w:val="003666C9"/>
    <w:rPr>
      <w:sz w:val="16"/>
      <w:szCs w:val="16"/>
    </w:rPr>
  </w:style>
  <w:style w:type="paragraph" w:styleId="Textcomentariu">
    <w:name w:val="annotation text"/>
    <w:basedOn w:val="Normal"/>
    <w:link w:val="TextcomentariuCaracter"/>
    <w:uiPriority w:val="99"/>
    <w:semiHidden/>
    <w:unhideWhenUsed/>
    <w:rsid w:val="003666C9"/>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3666C9"/>
    <w:rPr>
      <w:sz w:val="20"/>
      <w:szCs w:val="20"/>
    </w:rPr>
  </w:style>
  <w:style w:type="paragraph" w:styleId="SubiectComentariu">
    <w:name w:val="annotation subject"/>
    <w:basedOn w:val="Textcomentariu"/>
    <w:next w:val="Textcomentariu"/>
    <w:link w:val="SubiectComentariuCaracter"/>
    <w:uiPriority w:val="99"/>
    <w:semiHidden/>
    <w:unhideWhenUsed/>
    <w:rsid w:val="003666C9"/>
    <w:rPr>
      <w:b/>
      <w:bCs/>
    </w:rPr>
  </w:style>
  <w:style w:type="character" w:customStyle="1" w:styleId="SubiectComentariuCaracter">
    <w:name w:val="Subiect Comentariu Caracter"/>
    <w:basedOn w:val="TextcomentariuCaracter"/>
    <w:link w:val="SubiectComentariu"/>
    <w:uiPriority w:val="99"/>
    <w:semiHidden/>
    <w:rsid w:val="003666C9"/>
    <w:rPr>
      <w:b/>
      <w:bCs/>
      <w:sz w:val="20"/>
      <w:szCs w:val="20"/>
    </w:rPr>
  </w:style>
  <w:style w:type="character" w:customStyle="1" w:styleId="Titlu2Caracter">
    <w:name w:val="Titlu 2 Caracter"/>
    <w:basedOn w:val="Fontdeparagrafimplicit"/>
    <w:link w:val="Titlu2"/>
    <w:uiPriority w:val="9"/>
    <w:rsid w:val="00BF607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47983">
      <w:bodyDiv w:val="1"/>
      <w:marLeft w:val="0"/>
      <w:marRight w:val="0"/>
      <w:marTop w:val="0"/>
      <w:marBottom w:val="0"/>
      <w:divBdr>
        <w:top w:val="none" w:sz="0" w:space="0" w:color="auto"/>
        <w:left w:val="none" w:sz="0" w:space="0" w:color="auto"/>
        <w:bottom w:val="none" w:sz="0" w:space="0" w:color="auto"/>
        <w:right w:val="none" w:sz="0" w:space="0" w:color="auto"/>
      </w:divBdr>
    </w:div>
    <w:div w:id="1293098276">
      <w:bodyDiv w:val="1"/>
      <w:marLeft w:val="0"/>
      <w:marRight w:val="0"/>
      <w:marTop w:val="0"/>
      <w:marBottom w:val="0"/>
      <w:divBdr>
        <w:top w:val="none" w:sz="0" w:space="0" w:color="auto"/>
        <w:left w:val="none" w:sz="0" w:space="0" w:color="auto"/>
        <w:bottom w:val="none" w:sz="0" w:space="0" w:color="auto"/>
        <w:right w:val="none" w:sz="0" w:space="0" w:color="auto"/>
      </w:divBdr>
    </w:div>
    <w:div w:id="1482118344">
      <w:bodyDiv w:val="1"/>
      <w:marLeft w:val="0"/>
      <w:marRight w:val="0"/>
      <w:marTop w:val="0"/>
      <w:marBottom w:val="0"/>
      <w:divBdr>
        <w:top w:val="none" w:sz="0" w:space="0" w:color="auto"/>
        <w:left w:val="none" w:sz="0" w:space="0" w:color="auto"/>
        <w:bottom w:val="none" w:sz="0" w:space="0" w:color="auto"/>
        <w:right w:val="none" w:sz="0" w:space="0" w:color="auto"/>
      </w:divBdr>
    </w:div>
    <w:div w:id="160577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fa.eu/ckeditor_uploads/files/165804-ALEFA-E-Publication-updated-14%2003%2019%20v%20edit%20with%20NO%20contacts.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a.mitroi@just.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ea.tirlea@just.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dra.mitroi@just.ro" TargetMode="External"/><Relationship Id="rId4" Type="http://schemas.openxmlformats.org/officeDocument/2006/relationships/settings" Target="settings.xml"/><Relationship Id="rId9" Type="http://schemas.openxmlformats.org/officeDocument/2006/relationships/hyperlink" Target="mailto:andreea.tirlea@just.r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FCDBF-8C73-4D52-8C9A-C1FDB761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1454</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Antoaneta Andra Mitroi</dc:creator>
  <cp:keywords/>
  <dc:description/>
  <cp:lastModifiedBy>Ovidiu</cp:lastModifiedBy>
  <cp:revision>2</cp:revision>
  <dcterms:created xsi:type="dcterms:W3CDTF">2022-07-15T09:32:00Z</dcterms:created>
  <dcterms:modified xsi:type="dcterms:W3CDTF">2022-07-15T09:32:00Z</dcterms:modified>
</cp:coreProperties>
</file>