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9F0" w14:textId="326D5CBC" w:rsidR="0013128C" w:rsidRPr="00486D78" w:rsidRDefault="0013128C" w:rsidP="008F640C">
      <w:pPr>
        <w:tabs>
          <w:tab w:val="left" w:pos="7050"/>
          <w:tab w:val="left" w:pos="9356"/>
        </w:tabs>
        <w:ind w:left="0" w:right="-30"/>
        <w:jc w:val="right"/>
      </w:pPr>
      <w:r w:rsidRPr="00133BA9">
        <w:t>Nr.</w:t>
      </w:r>
      <w:r w:rsidR="00811D38">
        <w:t xml:space="preserve"> </w:t>
      </w:r>
      <w:r w:rsidR="00440D69">
        <w:t>67</w:t>
      </w:r>
      <w:r w:rsidRPr="00133BA9">
        <w:t>/</w:t>
      </w:r>
      <w:r w:rsidR="00AB3BE9" w:rsidRPr="00133BA9">
        <w:t>285</w:t>
      </w:r>
      <w:r w:rsidRPr="00133BA9">
        <w:t>/2022/</w:t>
      </w:r>
      <w:r w:rsidR="00440D69">
        <w:t>21</w:t>
      </w:r>
      <w:r w:rsidRPr="00133BA9">
        <w:t>.0</w:t>
      </w:r>
      <w:r w:rsidR="00AB3BE9" w:rsidRPr="00133BA9">
        <w:t>7</w:t>
      </w:r>
      <w:r w:rsidRPr="00133BA9">
        <w:t>.2022</w:t>
      </w:r>
      <w:r w:rsidRPr="00486D78">
        <w:t xml:space="preserve">      </w:t>
      </w:r>
    </w:p>
    <w:p w14:paraId="4AE58B59" w14:textId="77777777" w:rsidR="0013128C" w:rsidRPr="00486D78" w:rsidRDefault="0013128C" w:rsidP="008F640C">
      <w:pPr>
        <w:spacing w:after="160" w:line="259" w:lineRule="auto"/>
        <w:ind w:left="0" w:right="-30"/>
        <w:jc w:val="right"/>
        <w:rPr>
          <w:rFonts w:eastAsia="Calibri"/>
          <w:b/>
        </w:rPr>
      </w:pPr>
      <w:r w:rsidRPr="00486D78">
        <w:rPr>
          <w:rFonts w:eastAsia="Calibri"/>
          <w:b/>
        </w:rPr>
        <w:t>A P R O B</w:t>
      </w:r>
    </w:p>
    <w:p w14:paraId="631FA308" w14:textId="7378E8D7" w:rsidR="0013128C" w:rsidRPr="00486D78" w:rsidRDefault="0013128C" w:rsidP="008F640C">
      <w:pPr>
        <w:spacing w:after="160" w:line="259" w:lineRule="auto"/>
        <w:ind w:left="0" w:right="-30"/>
        <w:jc w:val="right"/>
        <w:rPr>
          <w:rFonts w:eastAsia="Calibri"/>
          <w:b/>
        </w:rPr>
      </w:pPr>
    </w:p>
    <w:p w14:paraId="4FBE519B" w14:textId="3D737A07" w:rsidR="0013128C" w:rsidRPr="00486D78" w:rsidRDefault="004B679A" w:rsidP="004B679A">
      <w:pPr>
        <w:tabs>
          <w:tab w:val="center" w:pos="7754"/>
          <w:tab w:val="right" w:pos="15508"/>
        </w:tabs>
        <w:spacing w:after="160" w:line="259" w:lineRule="auto"/>
        <w:ind w:left="0" w:right="-3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13128C" w:rsidRPr="00486D78">
        <w:rPr>
          <w:rFonts w:eastAsia="Calibri"/>
          <w:b/>
        </w:rPr>
        <w:t>Director general</w:t>
      </w:r>
    </w:p>
    <w:p w14:paraId="534D9022" w14:textId="77777777" w:rsidR="0013128C" w:rsidRPr="00486D78" w:rsidRDefault="0013128C" w:rsidP="008F640C">
      <w:pPr>
        <w:spacing w:after="160" w:line="259" w:lineRule="auto"/>
        <w:ind w:left="0" w:right="-30"/>
        <w:jc w:val="right"/>
        <w:rPr>
          <w:rFonts w:eastAsia="Calibri"/>
          <w:b/>
        </w:rPr>
      </w:pPr>
      <w:r w:rsidRPr="00486D78">
        <w:rPr>
          <w:rFonts w:eastAsia="Calibri"/>
          <w:b/>
        </w:rPr>
        <w:t>Ordonator terțiar de credite</w:t>
      </w:r>
    </w:p>
    <w:p w14:paraId="3664BBD8" w14:textId="0E4115A8" w:rsidR="0013128C" w:rsidRPr="00486D78" w:rsidRDefault="004067DA" w:rsidP="004067DA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left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  <w:r w:rsidR="0013128C" w:rsidRPr="00486D78">
        <w:rPr>
          <w:rFonts w:eastAsia="Calibri" w:cs="Calibri"/>
          <w:b/>
        </w:rPr>
        <w:t>CĂTRE TOȚI CEI INTERESAȚI</w:t>
      </w:r>
      <w:r>
        <w:rPr>
          <w:rFonts w:eastAsia="Calibri" w:cs="Calibri"/>
          <w:b/>
        </w:rPr>
        <w:tab/>
      </w:r>
    </w:p>
    <w:p w14:paraId="46F94A85" w14:textId="77777777" w:rsidR="0013128C" w:rsidRPr="00486D78" w:rsidRDefault="0013128C" w:rsidP="008F640C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</w:rPr>
      </w:pPr>
    </w:p>
    <w:p w14:paraId="64ACB278" w14:textId="3CDDCB87" w:rsidR="0013128C" w:rsidRPr="00486D78" w:rsidRDefault="0013128C" w:rsidP="008F640C">
      <w:pPr>
        <w:spacing w:after="0" w:line="240" w:lineRule="auto"/>
        <w:ind w:left="0" w:right="-30" w:firstLine="720"/>
        <w:rPr>
          <w:rFonts w:cstheme="minorHAnsi"/>
          <w:bCs/>
          <w:iCs/>
        </w:rPr>
      </w:pPr>
      <w:r w:rsidRPr="00486D78">
        <w:rPr>
          <w:rFonts w:eastAsia="Calibri" w:cs="Calibri"/>
          <w:b/>
        </w:rPr>
        <w:t>Cu referire la:</w:t>
      </w:r>
      <w:r w:rsidRPr="00486D78">
        <w:rPr>
          <w:rFonts w:eastAsia="Calibri" w:cs="Calibri"/>
          <w:bCs/>
        </w:rPr>
        <w:t xml:space="preserve"> </w:t>
      </w:r>
      <w:r w:rsidR="007B49F0" w:rsidRPr="00486D78">
        <w:rPr>
          <w:rFonts w:eastAsia="Calibri" w:cs="Calibri"/>
          <w:bCs/>
        </w:rPr>
        <w:t xml:space="preserve">Achiziția privind </w:t>
      </w:r>
      <w:r w:rsidR="007B49F0" w:rsidRPr="00486D78">
        <w:rPr>
          <w:rFonts w:eastAsia="Calibri" w:cs="Calibri"/>
          <w:bCs/>
          <w:i/>
        </w:rPr>
        <w:t>„Servicii pentru organizarea de evenimente și cursuri de formare, inclusiv organizarea conferinței de închidere a proiectului „</w:t>
      </w:r>
      <w:r w:rsidR="007B49F0" w:rsidRPr="00486D78">
        <w:rPr>
          <w:rFonts w:eastAsia="Calibri" w:cs="Calibri"/>
          <w:b/>
          <w:bCs/>
          <w:i/>
        </w:rPr>
        <w:t xml:space="preserve">Continuarea consolidării și a eficientizării sistemului național de recuperare a creanțelor provenite din infracțiuni” cod SIPOCA 1157, cod </w:t>
      </w:r>
      <w:proofErr w:type="spellStart"/>
      <w:r w:rsidR="007B49F0" w:rsidRPr="00486D78">
        <w:rPr>
          <w:rFonts w:eastAsia="Calibri" w:cs="Calibri"/>
          <w:b/>
          <w:bCs/>
          <w:i/>
        </w:rPr>
        <w:t>MySMIS</w:t>
      </w:r>
      <w:proofErr w:type="spellEnd"/>
      <w:r w:rsidR="007B49F0" w:rsidRPr="00486D78">
        <w:rPr>
          <w:rFonts w:eastAsia="Calibri" w:cs="Calibri"/>
          <w:b/>
          <w:bCs/>
          <w:i/>
        </w:rPr>
        <w:t xml:space="preserve"> 152912</w:t>
      </w:r>
      <w:r w:rsidR="007B49F0" w:rsidRPr="00486D78">
        <w:rPr>
          <w:rFonts w:eastAsia="Calibri" w:cs="Calibri"/>
          <w:bCs/>
          <w:i/>
        </w:rPr>
        <w:t>, finanțat din fonduri nerambursabile, de către Autoritatea de Management pentru Programul Operațional Capacitate Administrativă (AM POCA)”</w:t>
      </w:r>
    </w:p>
    <w:p w14:paraId="79ABCD8C" w14:textId="522E7F1D" w:rsidR="008F640C" w:rsidRPr="00486D78" w:rsidRDefault="0013128C" w:rsidP="008F640C">
      <w:pPr>
        <w:spacing w:after="0" w:line="240" w:lineRule="auto"/>
        <w:ind w:left="0" w:right="-30" w:firstLine="720"/>
        <w:rPr>
          <w:shd w:val="clear" w:color="auto" w:fill="F9F9F9"/>
        </w:rPr>
      </w:pPr>
      <w:r w:rsidRPr="00486D78">
        <w:rPr>
          <w:rFonts w:eastAsia="Calibri" w:cs="Calibri"/>
          <w:b/>
        </w:rPr>
        <w:t>Cod/Coduri CPV:</w:t>
      </w:r>
      <w:r w:rsidR="008F640C" w:rsidRPr="00486D78">
        <w:rPr>
          <w:rFonts w:eastAsia="Calibri" w:cs="Calibri"/>
          <w:b/>
        </w:rPr>
        <w:tab/>
      </w:r>
      <w:r w:rsidR="008F640C" w:rsidRPr="00486D78">
        <w:rPr>
          <w:shd w:val="clear" w:color="auto" w:fill="F9F9F9"/>
        </w:rPr>
        <w:t>79952000-2 Servicii pentru evenimente (Rev.2);</w:t>
      </w:r>
    </w:p>
    <w:p w14:paraId="4EF974F6" w14:textId="5CCF4CE8" w:rsidR="008F640C" w:rsidRPr="00486D78" w:rsidRDefault="008F640C" w:rsidP="008F640C">
      <w:pPr>
        <w:spacing w:after="0" w:line="240" w:lineRule="auto"/>
        <w:ind w:left="0" w:right="-30" w:firstLine="720"/>
        <w:rPr>
          <w:shd w:val="clear" w:color="auto" w:fill="F9F9F9"/>
        </w:rPr>
      </w:pP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  <w:t>79951000-5 Servicii de organizare de seminarii (Rev.2);</w:t>
      </w:r>
    </w:p>
    <w:p w14:paraId="5308DA02" w14:textId="17C6442A" w:rsidR="008F640C" w:rsidRPr="00486D78" w:rsidRDefault="008F640C" w:rsidP="008F640C">
      <w:pPr>
        <w:spacing w:after="0" w:line="240" w:lineRule="auto"/>
        <w:ind w:left="0" w:right="-30" w:firstLine="720"/>
        <w:rPr>
          <w:shd w:val="clear" w:color="auto" w:fill="F9F9F9"/>
        </w:rPr>
      </w:pP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  <w:t>80530000-8 Servicii de formare profesională (Rev.2);</w:t>
      </w:r>
    </w:p>
    <w:p w14:paraId="67659824" w14:textId="2C31B79B" w:rsidR="0013128C" w:rsidRPr="00486D78" w:rsidRDefault="008F640C" w:rsidP="008F640C">
      <w:pPr>
        <w:spacing w:after="0" w:line="360" w:lineRule="auto"/>
        <w:ind w:left="0" w:right="-30" w:firstLine="720"/>
        <w:rPr>
          <w:shd w:val="clear" w:color="auto" w:fill="F9F9F9"/>
        </w:rPr>
      </w:pP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</w:r>
      <w:r w:rsidRPr="00486D78">
        <w:rPr>
          <w:shd w:val="clear" w:color="auto" w:fill="F9F9F9"/>
        </w:rPr>
        <w:tab/>
        <w:t xml:space="preserve">55520000-1 Servicii de </w:t>
      </w:r>
      <w:proofErr w:type="spellStart"/>
      <w:r w:rsidRPr="00486D78">
        <w:rPr>
          <w:shd w:val="clear" w:color="auto" w:fill="F9F9F9"/>
        </w:rPr>
        <w:t>catering</w:t>
      </w:r>
      <w:proofErr w:type="spellEnd"/>
      <w:r w:rsidRPr="00486D78">
        <w:rPr>
          <w:shd w:val="clear" w:color="auto" w:fill="F9F9F9"/>
        </w:rPr>
        <w:t xml:space="preserve"> (Rev.2).</w:t>
      </w:r>
    </w:p>
    <w:p w14:paraId="427EB350" w14:textId="68F5FBAB" w:rsidR="0013128C" w:rsidRPr="00486D78" w:rsidRDefault="005B4ADB" w:rsidP="008F640C">
      <w:pPr>
        <w:widowControl w:val="0"/>
        <w:autoSpaceDE w:val="0"/>
        <w:autoSpaceDN w:val="0"/>
        <w:adjustRightInd w:val="0"/>
        <w:spacing w:after="0" w:line="360" w:lineRule="auto"/>
        <w:ind w:left="0" w:right="-30" w:firstLine="720"/>
        <w:jc w:val="center"/>
        <w:rPr>
          <w:rFonts w:eastAsia="Calibri" w:cs="Calibri"/>
          <w:b/>
        </w:rPr>
      </w:pPr>
      <w:r w:rsidRPr="00486D78">
        <w:rPr>
          <w:rFonts w:eastAsia="Calibri" w:cs="Calibri"/>
          <w:b/>
        </w:rPr>
        <w:t>RĂSPUNSUL CONSOLIDAT LA SOLICITĂRILE DE CLARIFICĂRI PRIVIND ACHIZIȚIA/CUMPĂRAREA DIRECTĂ, PUBLICATĂ:</w:t>
      </w:r>
    </w:p>
    <w:p w14:paraId="11B1DEA7" w14:textId="10E78E54" w:rsidR="0013128C" w:rsidRPr="00486D78" w:rsidRDefault="0013128C" w:rsidP="008F6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</w:t>
      </w:r>
      <w:r w:rsidR="00614959" w:rsidRPr="00486D78">
        <w:rPr>
          <w:rFonts w:eastAsia="Calibri" w:cs="Calibri"/>
          <w:b/>
          <w:bCs/>
          <w:color w:val="000000"/>
        </w:rPr>
        <w:t xml:space="preserve">SEAP </w:t>
      </w:r>
      <w:hyperlink r:id="rId8" w:history="1">
        <w:r w:rsidR="00614959" w:rsidRPr="00486D78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6D78">
        <w:rPr>
          <w:rFonts w:eastAsia="Calibri" w:cs="Calibri"/>
          <w:b/>
          <w:bCs/>
          <w:color w:val="000000"/>
        </w:rPr>
        <w:t xml:space="preserve"> anunț de </w:t>
      </w:r>
      <w:r w:rsidR="00EC442A" w:rsidRPr="00486D78">
        <w:rPr>
          <w:rFonts w:eastAsia="Calibri" w:cs="Calibri"/>
          <w:b/>
          <w:bCs/>
          <w:color w:val="000000"/>
        </w:rPr>
        <w:t>publicitate</w:t>
      </w:r>
      <w:r w:rsidRPr="00486D78">
        <w:rPr>
          <w:rFonts w:eastAsia="Calibri" w:cs="Calibri"/>
          <w:b/>
          <w:bCs/>
          <w:color w:val="000000"/>
        </w:rPr>
        <w:t xml:space="preserve"> nr. </w:t>
      </w:r>
      <w:r w:rsidR="00EC442A" w:rsidRPr="00486D78">
        <w:t>ADV</w:t>
      </w:r>
      <w:r w:rsidR="007D44B0" w:rsidRPr="00486D78">
        <w:t>1301489</w:t>
      </w:r>
      <w:r w:rsidRPr="00486D78">
        <w:rPr>
          <w:rFonts w:eastAsia="Calibri" w:cs="Calibri"/>
          <w:bCs/>
          <w:color w:val="000000"/>
        </w:rPr>
        <w:t xml:space="preserve"> </w:t>
      </w:r>
      <w:r w:rsidRPr="00486D78">
        <w:rPr>
          <w:rFonts w:eastAsia="Calibri" w:cs="Calibri"/>
          <w:b/>
          <w:bCs/>
          <w:color w:val="000000"/>
        </w:rPr>
        <w:t xml:space="preserve">din </w:t>
      </w:r>
      <w:r w:rsidR="007D44B0" w:rsidRPr="00486D78">
        <w:rPr>
          <w:rFonts w:eastAsia="Calibri" w:cs="Calibri"/>
          <w:bCs/>
          <w:color w:val="000000"/>
        </w:rPr>
        <w:t>30</w:t>
      </w:r>
      <w:r w:rsidRPr="00486D78">
        <w:rPr>
          <w:rFonts w:eastAsia="Calibri" w:cs="Calibri"/>
          <w:bCs/>
          <w:color w:val="000000"/>
        </w:rPr>
        <w:t>.</w:t>
      </w:r>
      <w:r w:rsidR="00EC442A" w:rsidRPr="00486D78">
        <w:rPr>
          <w:rFonts w:eastAsia="Calibri" w:cs="Calibri"/>
          <w:bCs/>
          <w:color w:val="000000"/>
        </w:rPr>
        <w:t>0</w:t>
      </w:r>
      <w:r w:rsidR="007D44B0" w:rsidRPr="00486D78">
        <w:rPr>
          <w:rFonts w:eastAsia="Calibri" w:cs="Calibri"/>
          <w:bCs/>
          <w:color w:val="000000"/>
        </w:rPr>
        <w:t>6</w:t>
      </w:r>
      <w:r w:rsidRPr="00486D78">
        <w:rPr>
          <w:rFonts w:eastAsia="Calibri" w:cs="Calibri"/>
          <w:bCs/>
          <w:color w:val="000000"/>
        </w:rPr>
        <w:t>.202</w:t>
      </w:r>
      <w:r w:rsidR="00EC442A" w:rsidRPr="00486D78">
        <w:rPr>
          <w:rFonts w:eastAsia="Calibri" w:cs="Calibri"/>
          <w:bCs/>
          <w:color w:val="000000"/>
        </w:rPr>
        <w:t>2</w:t>
      </w:r>
      <w:r w:rsidR="00614959" w:rsidRPr="00486D78">
        <w:rPr>
          <w:rFonts w:eastAsia="Calibri" w:cs="Calibri"/>
          <w:bCs/>
          <w:color w:val="000000"/>
        </w:rPr>
        <w:t>;</w:t>
      </w:r>
    </w:p>
    <w:p w14:paraId="66F2C2FD" w14:textId="7CFEBF8B" w:rsidR="00614959" w:rsidRPr="00486D78" w:rsidRDefault="00614959" w:rsidP="008F6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486D78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486D78">
        <w:rPr>
          <w:rFonts w:eastAsia="Calibri" w:cs="Calibri"/>
          <w:b/>
          <w:bCs/>
          <w:color w:val="000000"/>
        </w:rPr>
        <w:t xml:space="preserve"> la secțiunea dedicată achizițiilor publice</w:t>
      </w:r>
      <w:r w:rsidR="00A53C21" w:rsidRPr="00486D78">
        <w:rPr>
          <w:rFonts w:eastAsia="Calibri" w:cs="Calibri"/>
          <w:color w:val="000000"/>
        </w:rPr>
        <w:t>;</w:t>
      </w:r>
    </w:p>
    <w:p w14:paraId="54073CB8" w14:textId="3C2AA2DB" w:rsidR="00A53C21" w:rsidRPr="00486D78" w:rsidRDefault="00A53C21" w:rsidP="008F6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ANABI </w:t>
      </w:r>
      <w:hyperlink r:id="rId10" w:history="1">
        <w:r w:rsidRPr="00486D78">
          <w:rPr>
            <w:rStyle w:val="Hyperlink"/>
            <w:b/>
            <w:bCs/>
          </w:rPr>
          <w:t>https://www.just.ro/informatii-de-interes-public/achizitii-publice/</w:t>
        </w:r>
      </w:hyperlink>
      <w:r w:rsidRPr="00486D78">
        <w:rPr>
          <w:rFonts w:eastAsia="Calibri" w:cs="Calibri"/>
          <w:b/>
          <w:bCs/>
          <w:color w:val="000000"/>
        </w:rPr>
        <w:t xml:space="preserve"> la secțiunea dedicată achizițiilor publice</w:t>
      </w:r>
      <w:r w:rsidR="00536FBC" w:rsidRPr="00486D78">
        <w:rPr>
          <w:rFonts w:eastAsia="Calibri" w:cs="Calibri"/>
          <w:b/>
          <w:bCs/>
          <w:color w:val="000000"/>
        </w:rPr>
        <w:t>.</w:t>
      </w:r>
    </w:p>
    <w:p w14:paraId="6C687526" w14:textId="77777777" w:rsidR="0013128C" w:rsidRPr="00486D78" w:rsidRDefault="0013128C" w:rsidP="008F640C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</w:rPr>
      </w:pPr>
    </w:p>
    <w:p w14:paraId="3D7DB2EC" w14:textId="5D92F413" w:rsidR="0013128C" w:rsidRPr="00486D78" w:rsidRDefault="00500AEB" w:rsidP="008F6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30"/>
        <w:rPr>
          <w:rFonts w:ascii="Calibri" w:eastAsia="Calibri" w:hAnsi="Calibri" w:cs="Calibri"/>
          <w:bCs/>
        </w:rPr>
      </w:pPr>
      <w:r w:rsidRPr="00486D78">
        <w:rPr>
          <w:rFonts w:eastAsia="Calibri" w:cs="Calibri"/>
          <w:bCs/>
          <w:color w:val="000000"/>
        </w:rPr>
        <w:tab/>
      </w:r>
      <w:r w:rsidR="00EC442A" w:rsidRPr="00486D78">
        <w:rPr>
          <w:rFonts w:eastAsia="Calibri" w:cs="Calibri"/>
          <w:bCs/>
          <w:color w:val="000000"/>
        </w:rPr>
        <w:tab/>
      </w:r>
      <w:r w:rsidR="0013128C" w:rsidRPr="00486D78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="0013128C" w:rsidRPr="00486D78">
        <w:rPr>
          <w:rFonts w:eastAsia="Calibri" w:cs="Calibri"/>
        </w:rPr>
        <w:t>mai jos poziția Autorității Contractante ca răspuns la solicitările de clarificări primite.</w:t>
      </w:r>
      <w:r w:rsidR="007B49F0" w:rsidRPr="00486D78">
        <w:rPr>
          <w:rFonts w:eastAsia="Calibri" w:cs="Calibri"/>
        </w:rPr>
        <w:t xml:space="preserve"> </w:t>
      </w:r>
      <w:r w:rsidR="0013128C" w:rsidRPr="00486D78">
        <w:rPr>
          <w:rFonts w:eastAsia="Calibri" w:cs="Calibri"/>
          <w:bCs/>
        </w:rPr>
        <w:t xml:space="preserve">Autoritatea Contractantă comunică răspunsul la solicitarea de clarificări </w:t>
      </w:r>
      <w:r w:rsidR="00EC442A" w:rsidRPr="00486D78">
        <w:rPr>
          <w:rFonts w:eastAsia="Calibri" w:cs="Calibri"/>
          <w:bCs/>
        </w:rPr>
        <w:t>pe site-ul</w:t>
      </w:r>
      <w:r w:rsidR="0013128C" w:rsidRPr="00486D78">
        <w:rPr>
          <w:rFonts w:eastAsia="Calibri" w:cs="Calibri"/>
          <w:bCs/>
        </w:rPr>
        <w:t xml:space="preserve"> </w:t>
      </w:r>
      <w:r w:rsidR="00EC442A" w:rsidRPr="00486D78">
        <w:rPr>
          <w:rFonts w:eastAsia="Calibri" w:cs="Calibri"/>
          <w:b/>
          <w:bCs/>
        </w:rPr>
        <w:t>Agenției Naționale de Administrare a Bunurilor Indisponibilizate</w:t>
      </w:r>
      <w:r w:rsidR="0013128C" w:rsidRPr="00486D78">
        <w:rPr>
          <w:rFonts w:eastAsia="Calibri" w:cs="Calibri"/>
          <w:bCs/>
        </w:rPr>
        <w:t xml:space="preserve"> prin intermediul </w:t>
      </w:r>
      <w:r w:rsidR="00EC442A" w:rsidRPr="00486D78">
        <w:rPr>
          <w:rFonts w:eastAsia="Calibri" w:cs="Calibri"/>
          <w:bCs/>
        </w:rPr>
        <w:t>link-ului</w:t>
      </w:r>
      <w:r w:rsidR="0013128C" w:rsidRPr="00486D78">
        <w:rPr>
          <w:rFonts w:eastAsia="Calibri" w:cs="Calibri"/>
          <w:bCs/>
        </w:rPr>
        <w:t xml:space="preserve"> </w:t>
      </w:r>
      <w:r w:rsidR="00EC442A" w:rsidRPr="00486D78">
        <w:rPr>
          <w:bCs/>
        </w:rPr>
        <w:t>ANABI</w:t>
      </w:r>
      <w:r w:rsidRPr="00486D78">
        <w:rPr>
          <w:bCs/>
        </w:rPr>
        <w:t xml:space="preserve"> </w:t>
      </w:r>
      <w:r w:rsidR="00EC442A" w:rsidRPr="00486D78">
        <w:rPr>
          <w:bCs/>
        </w:rPr>
        <w:t xml:space="preserve">– </w:t>
      </w:r>
      <w:hyperlink r:id="rId11" w:history="1">
        <w:r w:rsidR="00EC442A" w:rsidRPr="00486D78">
          <w:rPr>
            <w:rStyle w:val="Hyperlink"/>
            <w:bCs/>
            <w:iCs/>
          </w:rPr>
          <w:t>https://anabi.just.ro/achizitii.php</w:t>
        </w:r>
      </w:hyperlink>
      <w:r w:rsidR="00EC442A" w:rsidRPr="00486D78">
        <w:rPr>
          <w:bCs/>
        </w:rPr>
        <w:t xml:space="preserve"> la secțiunea dedicată achizițiilor publice</w:t>
      </w:r>
      <w:r w:rsidR="0013128C" w:rsidRPr="00486D78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1A45EEC3" w14:textId="77777777" w:rsidR="0013128C" w:rsidRPr="00486D78" w:rsidRDefault="0013128C" w:rsidP="008F640C">
      <w:pPr>
        <w:spacing w:after="0" w:line="240" w:lineRule="auto"/>
        <w:ind w:left="0" w:right="-30"/>
        <w:rPr>
          <w:rFonts w:ascii="Calibri" w:eastAsia="Calibri" w:hAnsi="Calibri" w:cs="Calibri"/>
          <w:bCs/>
          <w:sz w:val="20"/>
          <w:szCs w:val="20"/>
        </w:rPr>
        <w:sectPr w:rsidR="0013128C" w:rsidRPr="00486D78" w:rsidSect="004B679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2" w:right="680" w:bottom="987" w:left="680" w:header="567" w:footer="379" w:gutter="0"/>
          <w:pgNumType w:start="1"/>
          <w:cols w:space="708"/>
          <w:titlePg/>
          <w:docGrid w:linePitch="360"/>
        </w:sectPr>
      </w:pPr>
    </w:p>
    <w:p w14:paraId="07E57F51" w14:textId="77777777" w:rsidR="0013128C" w:rsidRPr="00486D78" w:rsidRDefault="0013128C" w:rsidP="008F640C">
      <w:pPr>
        <w:spacing w:after="200"/>
        <w:ind w:left="0" w:right="-30"/>
        <w:jc w:val="center"/>
        <w:rPr>
          <w:rFonts w:ascii="Calibri" w:eastAsia="Calibri" w:hAnsi="Calibri" w:cs="Calibri"/>
          <w:b/>
        </w:rPr>
      </w:pPr>
      <w:r w:rsidRPr="00486D78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234"/>
        <w:gridCol w:w="3290"/>
        <w:gridCol w:w="10064"/>
      </w:tblGrid>
      <w:tr w:rsidR="0013128C" w:rsidRPr="00486D78" w14:paraId="018EEE02" w14:textId="77777777" w:rsidTr="007D4CBC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0A51FD0D" w14:textId="77777777" w:rsidR="0013128C" w:rsidRPr="00486D78" w:rsidRDefault="0013128C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06659F29" w14:textId="77777777" w:rsidR="0013128C" w:rsidRPr="00486D78" w:rsidRDefault="0013128C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34" w:type="dxa"/>
            <w:vAlign w:val="center"/>
          </w:tcPr>
          <w:p w14:paraId="0397ADA8" w14:textId="77777777" w:rsidR="0013128C" w:rsidRPr="00486D78" w:rsidRDefault="0013128C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14:paraId="6CEDBDA0" w14:textId="77777777" w:rsidR="0013128C" w:rsidRPr="00486D78" w:rsidRDefault="0013128C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77909AC8" w14:textId="77777777" w:rsidR="0013128C" w:rsidRPr="00486D78" w:rsidRDefault="0013128C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13128C" w:rsidRPr="00486D78" w14:paraId="60723292" w14:textId="77777777" w:rsidTr="007D4CBC">
        <w:trPr>
          <w:trHeight w:val="614"/>
          <w:jc w:val="center"/>
        </w:trPr>
        <w:tc>
          <w:tcPr>
            <w:tcW w:w="858" w:type="dxa"/>
          </w:tcPr>
          <w:p w14:paraId="634D863C" w14:textId="77777777" w:rsidR="0013128C" w:rsidRPr="00486D78" w:rsidRDefault="0013128C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61934FC4" w14:textId="07C52FFE" w:rsidR="0013128C" w:rsidRPr="00486D78" w:rsidRDefault="006832E8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</w:t>
            </w:r>
            <w:r w:rsidR="001C6924"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.0</w:t>
            </w: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7</w:t>
            </w:r>
            <w:r w:rsidR="001C6924"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.2022</w:t>
            </w:r>
          </w:p>
        </w:tc>
        <w:tc>
          <w:tcPr>
            <w:tcW w:w="3290" w:type="dxa"/>
            <w:shd w:val="clear" w:color="auto" w:fill="auto"/>
            <w:hideMark/>
          </w:tcPr>
          <w:p w14:paraId="3850704C" w14:textId="67702E65" w:rsidR="00614959" w:rsidRPr="00486D78" w:rsidRDefault="006832E8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Pentru decont se va prelua suma de 280 lei,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fara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TVA/pers sau fiecare operator economic va oferta cat considera ?</w:t>
            </w:r>
          </w:p>
        </w:tc>
        <w:tc>
          <w:tcPr>
            <w:tcW w:w="10064" w:type="dxa"/>
            <w:shd w:val="clear" w:color="auto" w:fill="auto"/>
          </w:tcPr>
          <w:p w14:paraId="1EB38331" w14:textId="0A0D229B" w:rsidR="006F6023" w:rsidRPr="00715F2F" w:rsidRDefault="000D5F00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133BA9">
              <w:rPr>
                <w:rFonts w:cs="Calibri"/>
                <w:sz w:val="20"/>
                <w:szCs w:val="20"/>
              </w:rPr>
              <w:t>Pentru decont se va prelua suma de 280 lei</w:t>
            </w:r>
            <w:r w:rsidR="009C713A" w:rsidRPr="00133BA9">
              <w:rPr>
                <w:rFonts w:cs="Calibri"/>
                <w:sz w:val="20"/>
                <w:szCs w:val="20"/>
              </w:rPr>
              <w:t xml:space="preserve">, </w:t>
            </w:r>
            <w:r w:rsidR="008A4B13">
              <w:rPr>
                <w:rFonts w:cs="Calibri"/>
                <w:sz w:val="20"/>
                <w:szCs w:val="20"/>
              </w:rPr>
              <w:t>fără</w:t>
            </w:r>
            <w:r w:rsidR="009C713A" w:rsidRPr="00133BA9">
              <w:rPr>
                <w:rFonts w:cs="Calibri"/>
                <w:sz w:val="20"/>
                <w:szCs w:val="20"/>
              </w:rPr>
              <w:t xml:space="preserve"> TVA/</w:t>
            </w:r>
            <w:r w:rsidRPr="00133BA9">
              <w:rPr>
                <w:rFonts w:cs="Calibri"/>
                <w:sz w:val="20"/>
                <w:szCs w:val="20"/>
              </w:rPr>
              <w:t>persoană</w:t>
            </w:r>
            <w:r w:rsidR="00486D78" w:rsidRPr="00133BA9">
              <w:rPr>
                <w:rFonts w:cs="Calibri"/>
                <w:sz w:val="20"/>
                <w:szCs w:val="20"/>
              </w:rPr>
              <w:t>.</w:t>
            </w:r>
          </w:p>
          <w:p w14:paraId="03F02EA0" w14:textId="69C93A9C" w:rsidR="00486D78" w:rsidRPr="00715F2F" w:rsidRDefault="00486D78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Baremul privind transportul este exprimat în lei, fiind maximal, conform bugetului proiectului și nu poate fi depășit, decontarea realizându-se cu respectarea prevederilor HG nr. 714/2018, aplicându-se un consum de 7,5 litri la suta de km, la distanța efectivă, parcursă de fiecare participant, în limita a maxim</w:t>
            </w:r>
            <w:r w:rsidR="001B61B7" w:rsidRPr="00715F2F">
              <w:rPr>
                <w:rFonts w:cs="Calibri"/>
                <w:sz w:val="20"/>
                <w:szCs w:val="20"/>
              </w:rPr>
              <w:t>um</w:t>
            </w:r>
            <w:r w:rsidRPr="00715F2F">
              <w:rPr>
                <w:rFonts w:cs="Calibri"/>
                <w:sz w:val="20"/>
                <w:szCs w:val="20"/>
              </w:rPr>
              <w:t xml:space="preserve"> </w:t>
            </w:r>
            <w:r w:rsidR="00C729A2" w:rsidRPr="00715F2F">
              <w:rPr>
                <w:rFonts w:cs="Calibri"/>
                <w:sz w:val="20"/>
                <w:szCs w:val="20"/>
              </w:rPr>
              <w:t>280</w:t>
            </w:r>
            <w:r w:rsidRPr="00715F2F">
              <w:rPr>
                <w:rFonts w:cs="Calibri"/>
                <w:sz w:val="20"/>
                <w:szCs w:val="20"/>
              </w:rPr>
              <w:t xml:space="preserve"> de lei/participant.</w:t>
            </w:r>
          </w:p>
          <w:p w14:paraId="253CD491" w14:textId="77777777" w:rsidR="00486D78" w:rsidRPr="00715F2F" w:rsidRDefault="00486D78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Ofertanții își vor întocmi secțiunea din ofertă privind decontarea transportului participanților, în conformitate cu dispozițiile H.G. nr. 714 din 2018 privind drepturile </w:t>
            </w:r>
            <w:r w:rsidR="007802CA" w:rsidRPr="00715F2F">
              <w:rPr>
                <w:rFonts w:cs="Calibri"/>
                <w:sz w:val="20"/>
                <w:szCs w:val="20"/>
              </w:rPr>
              <w:t>ș</w:t>
            </w:r>
            <w:r w:rsidRPr="00715F2F">
              <w:rPr>
                <w:rFonts w:cs="Calibri"/>
                <w:sz w:val="20"/>
                <w:szCs w:val="20"/>
              </w:rPr>
              <w:t>i obliga</w:t>
            </w:r>
            <w:r w:rsidR="007802CA" w:rsidRPr="00715F2F">
              <w:rPr>
                <w:rFonts w:cs="Calibri"/>
                <w:sz w:val="20"/>
                <w:szCs w:val="20"/>
              </w:rPr>
              <w:t>ț</w:t>
            </w:r>
            <w:r w:rsidRPr="00715F2F">
              <w:rPr>
                <w:rFonts w:cs="Calibri"/>
                <w:sz w:val="20"/>
                <w:szCs w:val="20"/>
              </w:rPr>
              <w:t>iile personalului autorită</w:t>
            </w:r>
            <w:r w:rsidR="007802CA" w:rsidRPr="00715F2F">
              <w:rPr>
                <w:rFonts w:cs="Calibri"/>
                <w:sz w:val="20"/>
                <w:szCs w:val="20"/>
              </w:rPr>
              <w:t>ț</w:t>
            </w:r>
            <w:r w:rsidRPr="00715F2F">
              <w:rPr>
                <w:rFonts w:cs="Calibri"/>
                <w:sz w:val="20"/>
                <w:szCs w:val="20"/>
              </w:rPr>
              <w:t xml:space="preserve">ilor </w:t>
            </w:r>
            <w:r w:rsidR="007802CA" w:rsidRPr="00715F2F">
              <w:rPr>
                <w:rFonts w:cs="Calibri"/>
                <w:sz w:val="20"/>
                <w:szCs w:val="20"/>
              </w:rPr>
              <w:t>ș</w:t>
            </w:r>
            <w:r w:rsidRPr="00715F2F">
              <w:rPr>
                <w:rFonts w:cs="Calibri"/>
                <w:sz w:val="20"/>
                <w:szCs w:val="20"/>
              </w:rPr>
              <w:t>i institu</w:t>
            </w:r>
            <w:r w:rsidR="007802CA" w:rsidRPr="00715F2F">
              <w:rPr>
                <w:rFonts w:cs="Calibri"/>
                <w:sz w:val="20"/>
                <w:szCs w:val="20"/>
              </w:rPr>
              <w:t>ț</w:t>
            </w:r>
            <w:r w:rsidRPr="00715F2F">
              <w:rPr>
                <w:rFonts w:cs="Calibri"/>
                <w:sz w:val="20"/>
                <w:szCs w:val="20"/>
              </w:rPr>
              <w:t xml:space="preserve">iilor publice pe perioada delegării </w:t>
            </w:r>
            <w:r w:rsidR="007802CA" w:rsidRPr="00715F2F">
              <w:rPr>
                <w:rFonts w:cs="Calibri"/>
                <w:sz w:val="20"/>
                <w:szCs w:val="20"/>
              </w:rPr>
              <w:t>ș</w:t>
            </w:r>
            <w:r w:rsidRPr="00715F2F">
              <w:rPr>
                <w:rFonts w:cs="Calibri"/>
                <w:sz w:val="20"/>
                <w:szCs w:val="20"/>
              </w:rPr>
              <w:t>i deta</w:t>
            </w:r>
            <w:r w:rsidR="007802CA" w:rsidRPr="00715F2F">
              <w:rPr>
                <w:rFonts w:cs="Calibri"/>
                <w:sz w:val="20"/>
                <w:szCs w:val="20"/>
              </w:rPr>
              <w:t>ș</w:t>
            </w:r>
            <w:r w:rsidRPr="00715F2F">
              <w:rPr>
                <w:rFonts w:cs="Calibri"/>
                <w:sz w:val="20"/>
                <w:szCs w:val="20"/>
              </w:rPr>
              <w:t>ării în altă localitate, precum și în cazul deplasării în interesul serviciului.</w:t>
            </w:r>
          </w:p>
          <w:p w14:paraId="5BB8ED3D" w14:textId="1E4FB8E1" w:rsidR="0033044F" w:rsidRPr="00715F2F" w:rsidRDefault="009F2291" w:rsidP="0033044F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eastAsia="Calibri"/>
                <w:sz w:val="20"/>
                <w:szCs w:val="20"/>
              </w:rPr>
              <w:t>Este de preferat</w:t>
            </w:r>
            <w:r w:rsidR="0033044F" w:rsidRPr="00715F2F">
              <w:rPr>
                <w:rFonts w:eastAsia="Calibri"/>
                <w:sz w:val="20"/>
                <w:szCs w:val="20"/>
              </w:rPr>
              <w:t xml:space="preserve"> ca prețurile/valorile</w:t>
            </w:r>
            <w:r w:rsidRPr="00715F2F">
              <w:rPr>
                <w:rFonts w:eastAsia="Calibri"/>
                <w:sz w:val="20"/>
                <w:szCs w:val="20"/>
              </w:rPr>
              <w:t xml:space="preserve"> ofertate, ce compun oferta financiară (centralizatorul de prețuri) </w:t>
            </w:r>
            <w:r w:rsidR="0033044F" w:rsidRPr="00715F2F">
              <w:rPr>
                <w:rFonts w:eastAsia="Calibri"/>
                <w:sz w:val="20"/>
                <w:szCs w:val="20"/>
              </w:rPr>
              <w:t>să nu depășească procentele/valorile estimate</w:t>
            </w:r>
            <w:r w:rsidR="0033324E" w:rsidRPr="00715F2F">
              <w:rPr>
                <w:rFonts w:eastAsia="Calibri"/>
                <w:sz w:val="20"/>
                <w:szCs w:val="20"/>
              </w:rPr>
              <w:t xml:space="preserve">, </w:t>
            </w:r>
            <w:r w:rsidR="0033044F" w:rsidRPr="00715F2F">
              <w:rPr>
                <w:rFonts w:eastAsia="Calibri"/>
                <w:sz w:val="20"/>
                <w:szCs w:val="20"/>
              </w:rPr>
              <w:t>indicate în caietul de sarcini</w:t>
            </w:r>
            <w:r w:rsidRPr="00715F2F">
              <w:rPr>
                <w:rFonts w:eastAsia="Calibri"/>
                <w:sz w:val="20"/>
                <w:szCs w:val="20"/>
              </w:rPr>
              <w:t xml:space="preserve"> (pe fiecare tip de activitate/livrabil)</w:t>
            </w:r>
            <w:r w:rsidR="0033044F" w:rsidRPr="00715F2F">
              <w:rPr>
                <w:rFonts w:eastAsia="Calibri"/>
                <w:sz w:val="20"/>
                <w:szCs w:val="20"/>
              </w:rPr>
              <w:t>, ofertanților recomand</w:t>
            </w:r>
            <w:r w:rsidR="009E4A47" w:rsidRPr="00715F2F">
              <w:rPr>
                <w:rFonts w:eastAsia="Calibri"/>
                <w:sz w:val="20"/>
                <w:szCs w:val="20"/>
              </w:rPr>
              <w:t>ându-se</w:t>
            </w:r>
            <w:r w:rsidR="0033044F" w:rsidRPr="00715F2F">
              <w:rPr>
                <w:rFonts w:eastAsia="Calibri"/>
                <w:sz w:val="20"/>
                <w:szCs w:val="20"/>
              </w:rPr>
              <w:t xml:space="preserve"> încadrarea în acest</w:t>
            </w:r>
            <w:r w:rsidR="009E4A47" w:rsidRPr="00715F2F">
              <w:rPr>
                <w:rFonts w:eastAsia="Calibri"/>
                <w:sz w:val="20"/>
                <w:szCs w:val="20"/>
              </w:rPr>
              <w:t>e</w:t>
            </w:r>
            <w:r w:rsidR="0033044F" w:rsidRPr="00715F2F">
              <w:rPr>
                <w:rFonts w:eastAsia="Calibri"/>
                <w:sz w:val="20"/>
                <w:szCs w:val="20"/>
              </w:rPr>
              <w:t xml:space="preserve"> limit</w:t>
            </w:r>
            <w:r w:rsidR="009E4A47" w:rsidRPr="00715F2F">
              <w:rPr>
                <w:rFonts w:eastAsia="Calibri"/>
                <w:sz w:val="20"/>
                <w:szCs w:val="20"/>
              </w:rPr>
              <w:t>e</w:t>
            </w:r>
            <w:r w:rsidR="0033044F" w:rsidRPr="00715F2F">
              <w:rPr>
                <w:rFonts w:eastAsia="Calibri"/>
                <w:sz w:val="20"/>
                <w:szCs w:val="20"/>
              </w:rPr>
              <w:t>, la momentul ofertării/contractării</w:t>
            </w:r>
            <w:r w:rsidR="009E4A47" w:rsidRPr="00715F2F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832E8" w:rsidRPr="00486D78" w14:paraId="7E90AB57" w14:textId="77777777" w:rsidTr="007D4CBC">
        <w:trPr>
          <w:trHeight w:val="425"/>
          <w:jc w:val="center"/>
        </w:trPr>
        <w:tc>
          <w:tcPr>
            <w:tcW w:w="858" w:type="dxa"/>
          </w:tcPr>
          <w:p w14:paraId="487C0AD4" w14:textId="77777777" w:rsidR="006832E8" w:rsidRPr="00486D78" w:rsidRDefault="006832E8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59B8480C" w14:textId="7AC34541" w:rsidR="006832E8" w:rsidRPr="00486D78" w:rsidRDefault="006832E8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11.07.2022</w:t>
            </w:r>
          </w:p>
        </w:tc>
        <w:tc>
          <w:tcPr>
            <w:tcW w:w="3290" w:type="dxa"/>
            <w:shd w:val="clear" w:color="auto" w:fill="auto"/>
          </w:tcPr>
          <w:p w14:paraId="0DB0D6D2" w14:textId="28F3BB16" w:rsidR="006832E8" w:rsidRPr="00486D78" w:rsidRDefault="006832E8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De unde vor pleca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participantii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?</w:t>
            </w:r>
          </w:p>
        </w:tc>
        <w:tc>
          <w:tcPr>
            <w:tcW w:w="10064" w:type="dxa"/>
            <w:shd w:val="clear" w:color="auto" w:fill="auto"/>
          </w:tcPr>
          <w:p w14:paraId="3198704B" w14:textId="1F1387E4" w:rsidR="006832E8" w:rsidRPr="00715F2F" w:rsidRDefault="00F64C1A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Conform caietului de sarcini, c</w:t>
            </w:r>
            <w:r w:rsidR="00C76D35" w:rsidRPr="00715F2F">
              <w:rPr>
                <w:rFonts w:cs="Calibri"/>
                <w:sz w:val="20"/>
                <w:szCs w:val="20"/>
              </w:rPr>
              <w:t>ele 13 evenimente se vor desfășura în localități de pe raza curților de apel</w:t>
            </w:r>
            <w:r w:rsidR="008C50D3" w:rsidRPr="00715F2F">
              <w:rPr>
                <w:rFonts w:cs="Calibri"/>
                <w:sz w:val="20"/>
                <w:szCs w:val="20"/>
              </w:rPr>
              <w:t>:</w:t>
            </w:r>
            <w:r w:rsidR="00C76D35" w:rsidRPr="00715F2F">
              <w:rPr>
                <w:rFonts w:cs="Calibri"/>
                <w:sz w:val="20"/>
                <w:szCs w:val="20"/>
              </w:rPr>
              <w:t xml:space="preserve"> Alba Iulia, Bacău, Brașov, București, Cluj, Constanța, Craiova, Galați, Iași, Oradea, Pitești, Ploiești, Suceava, Târgu Mureș, Timișoara</w:t>
            </w:r>
            <w:r w:rsidR="00B22A84" w:rsidRPr="00715F2F">
              <w:rPr>
                <w:rFonts w:cs="Calibri"/>
                <w:sz w:val="20"/>
                <w:szCs w:val="20"/>
              </w:rPr>
              <w:t>.</w:t>
            </w:r>
          </w:p>
          <w:p w14:paraId="56D26006" w14:textId="4F984610" w:rsidR="00A04EF5" w:rsidRPr="00715F2F" w:rsidRDefault="00B22A84" w:rsidP="00B22A84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Participanții la evenimentele regionale vor pleca din localitățile arondate curții de apel </w:t>
            </w:r>
            <w:r w:rsidR="002C1E76" w:rsidRPr="00715F2F">
              <w:rPr>
                <w:rFonts w:cs="Calibri"/>
                <w:sz w:val="20"/>
                <w:szCs w:val="20"/>
              </w:rPr>
              <w:t xml:space="preserve">pe a cărei rază </w:t>
            </w:r>
            <w:r w:rsidR="004336E0" w:rsidRPr="00715F2F">
              <w:rPr>
                <w:rFonts w:cs="Calibri"/>
                <w:sz w:val="20"/>
                <w:szCs w:val="20"/>
              </w:rPr>
              <w:t xml:space="preserve">se organizează evenimentul regional, către </w:t>
            </w:r>
            <w:r w:rsidRPr="00715F2F">
              <w:rPr>
                <w:rFonts w:cs="Calibri"/>
                <w:sz w:val="20"/>
                <w:szCs w:val="20"/>
              </w:rPr>
              <w:t>orașul în care</w:t>
            </w:r>
            <w:r w:rsidR="004336E0" w:rsidRPr="00715F2F">
              <w:rPr>
                <w:rFonts w:cs="Calibri"/>
                <w:sz w:val="20"/>
                <w:szCs w:val="20"/>
              </w:rPr>
              <w:t xml:space="preserve"> acesta are loc</w:t>
            </w:r>
            <w:r w:rsidRPr="00715F2F">
              <w:rPr>
                <w:rFonts w:cs="Calibri"/>
                <w:sz w:val="20"/>
                <w:szCs w:val="20"/>
              </w:rPr>
              <w:t>.</w:t>
            </w:r>
          </w:p>
          <w:p w14:paraId="542DDD53" w14:textId="106F7C1D" w:rsidR="00B22A84" w:rsidRPr="00715F2F" w:rsidRDefault="00B22A84" w:rsidP="00B22A84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Participanții la evenimentele naționale vor pleca din </w:t>
            </w:r>
            <w:r w:rsidR="008E57FE" w:rsidRPr="00715F2F">
              <w:rPr>
                <w:rFonts w:cs="Calibri"/>
                <w:sz w:val="20"/>
                <w:szCs w:val="20"/>
              </w:rPr>
              <w:t>localitățile de reședință a entităților de care aparțin, putând proveni din orice județ</w:t>
            </w:r>
            <w:r w:rsidRPr="00715F2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6832E8" w:rsidRPr="00486D78" w14:paraId="0229DB02" w14:textId="77777777" w:rsidTr="007D4CBC">
        <w:trPr>
          <w:trHeight w:val="983"/>
          <w:jc w:val="center"/>
        </w:trPr>
        <w:tc>
          <w:tcPr>
            <w:tcW w:w="858" w:type="dxa"/>
          </w:tcPr>
          <w:p w14:paraId="54011747" w14:textId="77777777" w:rsidR="006832E8" w:rsidRPr="00486D78" w:rsidRDefault="006832E8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48E6D449" w14:textId="6DC6EDFF" w:rsidR="006832E8" w:rsidRPr="00486D78" w:rsidRDefault="006832E8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11.07.2022</w:t>
            </w:r>
          </w:p>
        </w:tc>
        <w:tc>
          <w:tcPr>
            <w:tcW w:w="3290" w:type="dxa"/>
            <w:shd w:val="clear" w:color="auto" w:fill="auto"/>
          </w:tcPr>
          <w:p w14:paraId="5A6AD806" w14:textId="623AA95C" w:rsidR="006832E8" w:rsidRPr="00486D78" w:rsidRDefault="006832E8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In care dintre cele 15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orase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(Alba Iulia, Bacău, Brașov, București, Cluj, Constanța, Craiova, Galați, Iași, Oradea, Pitești, Ploiești, Suceava, Târgu Mureș, Timișoara)  se vor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desfasura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cele 10 întâlniri regionale?</w:t>
            </w:r>
          </w:p>
        </w:tc>
        <w:tc>
          <w:tcPr>
            <w:tcW w:w="10064" w:type="dxa"/>
            <w:shd w:val="clear" w:color="auto" w:fill="auto"/>
          </w:tcPr>
          <w:p w14:paraId="1DA306B7" w14:textId="0D18160E" w:rsidR="006832E8" w:rsidRPr="00715F2F" w:rsidRDefault="00F64C1A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Conform caietului de sarcini, c</w:t>
            </w:r>
            <w:r w:rsidR="00C729A2" w:rsidRPr="00715F2F">
              <w:rPr>
                <w:rFonts w:cs="Calibri"/>
                <w:sz w:val="20"/>
                <w:szCs w:val="20"/>
              </w:rPr>
              <w:t>ele 10 întâlniri regionale se vor desfășura în unul din cele 15 orașe: Alba Iulia, Bacău, Brașov, București, Cluj-Napoca, Constanța, Craiova, Galați, Iași, Oradea, Pitești, Ploiești, Suceava, Târgu Mureș, Timișoara.</w:t>
            </w:r>
          </w:p>
          <w:p w14:paraId="4FEE4069" w14:textId="3D77935D" w:rsidR="00A016F9" w:rsidRPr="00715F2F" w:rsidRDefault="00A016F9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Data și locația</w:t>
            </w:r>
            <w:r w:rsidR="00A37AD2" w:rsidRPr="00715F2F">
              <w:rPr>
                <w:rFonts w:cs="Calibri"/>
                <w:sz w:val="20"/>
                <w:szCs w:val="20"/>
              </w:rPr>
              <w:t xml:space="preserve"> (orașul)</w:t>
            </w:r>
            <w:r w:rsidRPr="00715F2F">
              <w:rPr>
                <w:rFonts w:cs="Calibri"/>
                <w:sz w:val="20"/>
                <w:szCs w:val="20"/>
              </w:rPr>
              <w:t xml:space="preserve"> exactă de desfășurare a fiecărui eveniment vor fi comunicate de către Autoritatea Contractantă, prestatorului, cu cel puțin 30 de zile înaintea organizării acestuia</w:t>
            </w:r>
            <w:r w:rsidR="00A04EF5" w:rsidRPr="00715F2F">
              <w:rPr>
                <w:rFonts w:cs="Calibri"/>
                <w:sz w:val="20"/>
                <w:szCs w:val="20"/>
              </w:rPr>
              <w:t xml:space="preserve"> (evenimentului)</w:t>
            </w:r>
            <w:r w:rsidR="00A37AD2" w:rsidRPr="00715F2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6832E8" w:rsidRPr="00486D78" w14:paraId="473CAF9B" w14:textId="77777777" w:rsidTr="007D4CBC">
        <w:trPr>
          <w:trHeight w:val="1110"/>
          <w:jc w:val="center"/>
        </w:trPr>
        <w:tc>
          <w:tcPr>
            <w:tcW w:w="858" w:type="dxa"/>
          </w:tcPr>
          <w:p w14:paraId="4DDE925B" w14:textId="77777777" w:rsidR="006832E8" w:rsidRPr="00486D78" w:rsidRDefault="006832E8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6EA18D6A" w14:textId="1D20E1B2" w:rsidR="006832E8" w:rsidRPr="00486D78" w:rsidRDefault="006832E8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11.07.2022</w:t>
            </w:r>
          </w:p>
        </w:tc>
        <w:tc>
          <w:tcPr>
            <w:tcW w:w="3290" w:type="dxa"/>
            <w:shd w:val="clear" w:color="auto" w:fill="auto"/>
          </w:tcPr>
          <w:p w14:paraId="46BB0BFA" w14:textId="5B01D5C5" w:rsidR="006832E8" w:rsidRPr="00486D78" w:rsidRDefault="006832E8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In care dintre cele 15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orase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(Alba Iulia, Bacău, Brașov, București, Cluj, Constanța, Craiova, Galați, Iași, Oradea, Pitești, Ploiești, Suceava, Târgu Mureș, Timișoara)  se vor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desfasura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cele 2 întâlniri naționale?</w:t>
            </w:r>
          </w:p>
        </w:tc>
        <w:tc>
          <w:tcPr>
            <w:tcW w:w="10064" w:type="dxa"/>
            <w:shd w:val="clear" w:color="auto" w:fill="auto"/>
          </w:tcPr>
          <w:p w14:paraId="71DA5392" w14:textId="75959F47" w:rsidR="00C729A2" w:rsidRPr="00715F2F" w:rsidRDefault="00F64C1A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Conform caietului de sarcini, c</w:t>
            </w:r>
            <w:r w:rsidR="00C729A2" w:rsidRPr="00715F2F">
              <w:rPr>
                <w:rFonts w:cs="Calibri"/>
                <w:sz w:val="20"/>
                <w:szCs w:val="20"/>
              </w:rPr>
              <w:t>ele 2 întâlniri naționale se vor desfășura în câte unu</w:t>
            </w:r>
            <w:r w:rsidR="001B61B7" w:rsidRPr="00715F2F">
              <w:rPr>
                <w:rFonts w:cs="Calibri"/>
                <w:sz w:val="20"/>
                <w:szCs w:val="20"/>
              </w:rPr>
              <w:t>l</w:t>
            </w:r>
            <w:r w:rsidR="00C729A2" w:rsidRPr="00715F2F">
              <w:rPr>
                <w:rFonts w:cs="Calibri"/>
                <w:sz w:val="20"/>
                <w:szCs w:val="20"/>
              </w:rPr>
              <w:t xml:space="preserve"> din cele 15 orașe: Alba Iulia, Bacău, Brașov, București, Cluj-Napoca, Constanța, Craiova, Galați, Iași, Oradea, Pitești, Ploiești, Suceava, Târgu Mureș, Timișoara.</w:t>
            </w:r>
          </w:p>
          <w:p w14:paraId="2CFEE480" w14:textId="347ECD6B" w:rsidR="006832E8" w:rsidRPr="00715F2F" w:rsidRDefault="00C729A2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Cele 2 întâlniri naționale </w:t>
            </w:r>
            <w:r w:rsidR="007B760F" w:rsidRPr="00715F2F">
              <w:rPr>
                <w:rFonts w:cs="Calibri"/>
                <w:sz w:val="20"/>
                <w:szCs w:val="20"/>
              </w:rPr>
              <w:t>pot avea loc</w:t>
            </w:r>
            <w:r w:rsidRPr="00715F2F">
              <w:rPr>
                <w:rFonts w:cs="Calibri"/>
                <w:sz w:val="20"/>
                <w:szCs w:val="20"/>
              </w:rPr>
              <w:t xml:space="preserve"> în </w:t>
            </w:r>
            <w:r w:rsidR="00251A82" w:rsidRPr="00715F2F">
              <w:rPr>
                <w:rFonts w:cs="Calibri"/>
                <w:sz w:val="20"/>
                <w:szCs w:val="20"/>
              </w:rPr>
              <w:t xml:space="preserve">alte </w:t>
            </w:r>
            <w:r w:rsidRPr="00715F2F">
              <w:rPr>
                <w:rFonts w:cs="Calibri"/>
                <w:sz w:val="20"/>
                <w:szCs w:val="20"/>
              </w:rPr>
              <w:t xml:space="preserve">orașe </w:t>
            </w:r>
            <w:r w:rsidR="00133BA9">
              <w:rPr>
                <w:rFonts w:cs="Calibri"/>
                <w:sz w:val="20"/>
                <w:szCs w:val="20"/>
              </w:rPr>
              <w:t>(diferite)</w:t>
            </w:r>
            <w:r w:rsidRPr="00715F2F">
              <w:rPr>
                <w:rFonts w:cs="Calibri"/>
                <w:sz w:val="20"/>
                <w:szCs w:val="20"/>
              </w:rPr>
              <w:t xml:space="preserve"> decât cele</w:t>
            </w:r>
            <w:r w:rsidR="00251A82" w:rsidRPr="00715F2F">
              <w:rPr>
                <w:rFonts w:cs="Calibri"/>
                <w:sz w:val="20"/>
                <w:szCs w:val="20"/>
              </w:rPr>
              <w:t xml:space="preserve"> în</w:t>
            </w:r>
            <w:r w:rsidRPr="00715F2F">
              <w:rPr>
                <w:rFonts w:cs="Calibri"/>
                <w:sz w:val="20"/>
                <w:szCs w:val="20"/>
              </w:rPr>
              <w:t xml:space="preserve"> care s-au organizat</w:t>
            </w:r>
            <w:r w:rsidR="00251A82" w:rsidRPr="00715F2F">
              <w:rPr>
                <w:rFonts w:cs="Calibri"/>
                <w:sz w:val="20"/>
                <w:szCs w:val="20"/>
              </w:rPr>
              <w:t xml:space="preserve"> cele 10 întâlniri regionale.</w:t>
            </w:r>
          </w:p>
          <w:p w14:paraId="10C74207" w14:textId="4990DB24" w:rsidR="00A04EF5" w:rsidRPr="00715F2F" w:rsidRDefault="00A04EF5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Data și locația (orașul) exactă de desfășurare a fiecărui eveniment vor fi comunicate de către Autoritatea Contractantă, prestatorului, cu cel puțin 30 de zile înaintea organizării acestuia (evenimentului).</w:t>
            </w:r>
          </w:p>
        </w:tc>
      </w:tr>
      <w:tr w:rsidR="006832E8" w:rsidRPr="00486D78" w14:paraId="23202FB7" w14:textId="77777777" w:rsidTr="007D4CBC">
        <w:trPr>
          <w:trHeight w:val="559"/>
          <w:jc w:val="center"/>
        </w:trPr>
        <w:tc>
          <w:tcPr>
            <w:tcW w:w="858" w:type="dxa"/>
          </w:tcPr>
          <w:p w14:paraId="782B9D38" w14:textId="77777777" w:rsidR="006832E8" w:rsidRPr="00486D78" w:rsidRDefault="006832E8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3C3B6FF2" w14:textId="4C66B2B9" w:rsidR="006832E8" w:rsidRPr="00486D78" w:rsidRDefault="006832E8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11.07.2022</w:t>
            </w:r>
          </w:p>
        </w:tc>
        <w:tc>
          <w:tcPr>
            <w:tcW w:w="3290" w:type="dxa"/>
            <w:shd w:val="clear" w:color="auto" w:fill="auto"/>
          </w:tcPr>
          <w:p w14:paraId="4F426178" w14:textId="3EFCC841" w:rsidR="006832E8" w:rsidRPr="00486D78" w:rsidRDefault="006832E8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In ce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oras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se va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desfasura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conferinta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inchidere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?</w:t>
            </w:r>
          </w:p>
        </w:tc>
        <w:tc>
          <w:tcPr>
            <w:tcW w:w="10064" w:type="dxa"/>
            <w:shd w:val="clear" w:color="auto" w:fill="auto"/>
          </w:tcPr>
          <w:p w14:paraId="40A2082B" w14:textId="3EB16910" w:rsidR="00A04EF5" w:rsidRPr="00715F2F" w:rsidRDefault="00F64C1A" w:rsidP="00251A82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Conform caietului de sarcini, co</w:t>
            </w:r>
            <w:r w:rsidR="003B7F56" w:rsidRPr="00715F2F">
              <w:rPr>
                <w:rFonts w:cs="Calibri"/>
                <w:sz w:val="20"/>
                <w:szCs w:val="20"/>
              </w:rPr>
              <w:t xml:space="preserve">nferința de închidere se va desfășura în </w:t>
            </w:r>
            <w:r w:rsidR="00EB00E2" w:rsidRPr="00715F2F">
              <w:rPr>
                <w:rFonts w:cs="Calibri"/>
                <w:sz w:val="20"/>
                <w:szCs w:val="20"/>
              </w:rPr>
              <w:t xml:space="preserve">municipiul </w:t>
            </w:r>
            <w:r w:rsidR="003B7F56" w:rsidRPr="00715F2F">
              <w:rPr>
                <w:rFonts w:cs="Calibri"/>
                <w:sz w:val="20"/>
                <w:szCs w:val="20"/>
              </w:rPr>
              <w:t>București.</w:t>
            </w:r>
          </w:p>
        </w:tc>
      </w:tr>
      <w:tr w:rsidR="006832E8" w:rsidRPr="00486D78" w14:paraId="5EB6B94A" w14:textId="77777777" w:rsidTr="007D4CBC">
        <w:trPr>
          <w:trHeight w:val="411"/>
          <w:jc w:val="center"/>
        </w:trPr>
        <w:tc>
          <w:tcPr>
            <w:tcW w:w="858" w:type="dxa"/>
          </w:tcPr>
          <w:p w14:paraId="77DA3398" w14:textId="77777777" w:rsidR="006832E8" w:rsidRPr="00486D78" w:rsidRDefault="006832E8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08FA3B18" w14:textId="65CF8899" w:rsidR="006832E8" w:rsidRPr="00486D78" w:rsidRDefault="00BD2C8E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11.07.2022</w:t>
            </w:r>
          </w:p>
        </w:tc>
        <w:tc>
          <w:tcPr>
            <w:tcW w:w="3290" w:type="dxa"/>
            <w:shd w:val="clear" w:color="auto" w:fill="auto"/>
          </w:tcPr>
          <w:p w14:paraId="02B9B85A" w14:textId="5EDEA6F8" w:rsidR="006832E8" w:rsidRPr="00486D78" w:rsidRDefault="00BD2C8E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La momentul </w:t>
            </w:r>
            <w:proofErr w:type="spellStart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>ofertarii</w:t>
            </w:r>
            <w:proofErr w:type="spellEnd"/>
            <w:r w:rsidRPr="00486D78">
              <w:rPr>
                <w:rFonts w:eastAsia="Times New Roman" w:cs="Calibri"/>
                <w:sz w:val="20"/>
                <w:szCs w:val="20"/>
                <w:lang w:eastAsia="ro-RO"/>
              </w:rPr>
              <w:t xml:space="preserve"> se vor prezenta propuneri de hotel?</w:t>
            </w:r>
          </w:p>
        </w:tc>
        <w:tc>
          <w:tcPr>
            <w:tcW w:w="10064" w:type="dxa"/>
            <w:shd w:val="clear" w:color="auto" w:fill="auto"/>
          </w:tcPr>
          <w:p w14:paraId="18EDECBC" w14:textId="528B3927" w:rsidR="00A37AD2" w:rsidRPr="00715F2F" w:rsidRDefault="00A37AD2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Rămâne la latitudinea ofertanților dacă vor prezenta propuneri de hotel la momentul ofertării.</w:t>
            </w:r>
          </w:p>
          <w:p w14:paraId="29E203C1" w14:textId="0FC4A084" w:rsidR="00B44A28" w:rsidRPr="00715F2F" w:rsidRDefault="007D4CBC" w:rsidP="00C10924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>Data și locația (orașul) exact</w:t>
            </w:r>
            <w:r w:rsidR="00EB00E2" w:rsidRPr="00715F2F">
              <w:rPr>
                <w:rFonts w:cs="Calibri"/>
                <w:sz w:val="20"/>
                <w:szCs w:val="20"/>
              </w:rPr>
              <w:t>e</w:t>
            </w:r>
            <w:r w:rsidRPr="00715F2F">
              <w:rPr>
                <w:rFonts w:cs="Calibri"/>
                <w:sz w:val="20"/>
                <w:szCs w:val="20"/>
              </w:rPr>
              <w:t xml:space="preserve"> de desfășurare a fiecărui eveniment vor fi comunicate de către Autoritatea Contractantă, prestatorului, cu cel puțin 30 de zile înaintea organizării acestuia (evenimentului), iar p</w:t>
            </w:r>
            <w:r w:rsidR="00A04EF5" w:rsidRPr="00715F2F">
              <w:rPr>
                <w:rFonts w:cs="Calibri"/>
                <w:sz w:val="20"/>
                <w:szCs w:val="20"/>
              </w:rPr>
              <w:t>restatorul (ofertantul câștigător) are obligația ca, î</w:t>
            </w:r>
            <w:r w:rsidR="00A37AD2" w:rsidRPr="00715F2F">
              <w:rPr>
                <w:rFonts w:cs="Calibri"/>
                <w:sz w:val="20"/>
                <w:szCs w:val="20"/>
              </w:rPr>
              <w:t xml:space="preserve">n termen de maximum 10 zile </w:t>
            </w:r>
            <w:r w:rsidR="00A04EF5" w:rsidRPr="00715F2F">
              <w:rPr>
                <w:rFonts w:cs="Calibri"/>
                <w:sz w:val="20"/>
                <w:szCs w:val="20"/>
              </w:rPr>
              <w:t>(</w:t>
            </w:r>
            <w:r w:rsidR="00A37AD2" w:rsidRPr="00715F2F">
              <w:rPr>
                <w:rFonts w:cs="Calibri"/>
                <w:sz w:val="20"/>
                <w:szCs w:val="20"/>
              </w:rPr>
              <w:t>de la data comunicării de către autoritatea contractantă a datelor și a locațiilor de desfășurare a evenimentelor</w:t>
            </w:r>
            <w:r w:rsidR="00A04EF5" w:rsidRPr="00715F2F">
              <w:rPr>
                <w:rFonts w:cs="Calibri"/>
                <w:sz w:val="20"/>
                <w:szCs w:val="20"/>
              </w:rPr>
              <w:t>)</w:t>
            </w:r>
            <w:r w:rsidR="00A37AD2" w:rsidRPr="00715F2F">
              <w:rPr>
                <w:rFonts w:cs="Calibri"/>
                <w:sz w:val="20"/>
                <w:szCs w:val="20"/>
              </w:rPr>
              <w:t xml:space="preserve">, </w:t>
            </w:r>
            <w:r w:rsidR="00A04EF5" w:rsidRPr="00715F2F">
              <w:rPr>
                <w:rFonts w:cs="Calibri"/>
                <w:sz w:val="20"/>
                <w:szCs w:val="20"/>
              </w:rPr>
              <w:t>să</w:t>
            </w:r>
            <w:r w:rsidR="00A37AD2" w:rsidRPr="00715F2F">
              <w:rPr>
                <w:rFonts w:cs="Calibri"/>
                <w:sz w:val="20"/>
                <w:szCs w:val="20"/>
              </w:rPr>
              <w:t xml:space="preserve"> prez</w:t>
            </w:r>
            <w:r w:rsidR="00A04EF5" w:rsidRPr="00715F2F">
              <w:rPr>
                <w:rFonts w:cs="Calibri"/>
                <w:sz w:val="20"/>
                <w:szCs w:val="20"/>
              </w:rPr>
              <w:t>inte beneficiarului (autorității contractante)</w:t>
            </w:r>
            <w:r w:rsidR="00A37AD2" w:rsidRPr="00715F2F">
              <w:rPr>
                <w:rFonts w:cs="Calibri"/>
                <w:sz w:val="20"/>
                <w:szCs w:val="20"/>
              </w:rPr>
              <w:t xml:space="preserve"> trei variante de cazare care să îndeplinească condițiile din caietul de sarcini și cele din oferta stabilită câștigătoare, iar autoritatea contractantă va stabili locația finală.</w:t>
            </w:r>
          </w:p>
        </w:tc>
      </w:tr>
      <w:tr w:rsidR="00F92EEA" w:rsidRPr="00486D78" w14:paraId="592730BD" w14:textId="77777777" w:rsidTr="007D4CBC">
        <w:trPr>
          <w:trHeight w:val="411"/>
          <w:jc w:val="center"/>
        </w:trPr>
        <w:tc>
          <w:tcPr>
            <w:tcW w:w="858" w:type="dxa"/>
          </w:tcPr>
          <w:p w14:paraId="1A9F9A54" w14:textId="77777777" w:rsidR="00F92EEA" w:rsidRPr="00486D78" w:rsidRDefault="00F92EEA" w:rsidP="008F640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77F0511E" w14:textId="2A51C87F" w:rsidR="00F92EEA" w:rsidRPr="00486D78" w:rsidRDefault="00F92EEA" w:rsidP="008F640C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18.07.2022</w:t>
            </w:r>
          </w:p>
        </w:tc>
        <w:tc>
          <w:tcPr>
            <w:tcW w:w="3290" w:type="dxa"/>
            <w:shd w:val="clear" w:color="auto" w:fill="auto"/>
          </w:tcPr>
          <w:p w14:paraId="5964EC79" w14:textId="5783535E" w:rsidR="00F92EEA" w:rsidRPr="00486D78" w:rsidRDefault="00F92EEA" w:rsidP="008F640C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F92EEA">
              <w:rPr>
                <w:rFonts w:eastAsia="Times New Roman" w:cs="Calibri"/>
                <w:sz w:val="20"/>
                <w:szCs w:val="20"/>
                <w:lang w:eastAsia="ro-RO"/>
              </w:rPr>
              <w:t xml:space="preserve">Va rog sa </w:t>
            </w:r>
            <w:proofErr w:type="spellStart"/>
            <w:r w:rsidRPr="00F92EEA">
              <w:rPr>
                <w:rFonts w:eastAsia="Times New Roman" w:cs="Calibri"/>
                <w:sz w:val="20"/>
                <w:szCs w:val="20"/>
                <w:lang w:eastAsia="ro-RO"/>
              </w:rPr>
              <w:t>clarificati</w:t>
            </w:r>
            <w:proofErr w:type="spellEnd"/>
            <w:r w:rsidRPr="00F92EEA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92EEA">
              <w:rPr>
                <w:rFonts w:eastAsia="Times New Roman" w:cs="Calibri"/>
                <w:sz w:val="20"/>
                <w:szCs w:val="20"/>
                <w:lang w:eastAsia="ro-RO"/>
              </w:rPr>
              <w:t>urmatorul</w:t>
            </w:r>
            <w:proofErr w:type="spellEnd"/>
            <w:r w:rsidRPr="00F92EEA">
              <w:rPr>
                <w:rFonts w:eastAsia="Times New Roman" w:cs="Calibri"/>
                <w:sz w:val="20"/>
                <w:szCs w:val="20"/>
                <w:lang w:eastAsia="ro-RO"/>
              </w:rPr>
              <w:t xml:space="preserve"> aspect: cum se depun ofertele, unde se depun ofertele si care este termenul limita.</w:t>
            </w:r>
          </w:p>
        </w:tc>
        <w:tc>
          <w:tcPr>
            <w:tcW w:w="10064" w:type="dxa"/>
            <w:shd w:val="clear" w:color="auto" w:fill="auto"/>
          </w:tcPr>
          <w:p w14:paraId="7969791A" w14:textId="370DC6B5" w:rsidR="00F92EEA" w:rsidRPr="00715F2F" w:rsidRDefault="00F64C1A" w:rsidP="008F640C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Conform anunț publicitate – </w:t>
            </w:r>
            <w:r w:rsidR="001C7C07" w:rsidRPr="00715F2F">
              <w:rPr>
                <w:rFonts w:cs="Calibri"/>
                <w:sz w:val="20"/>
                <w:szCs w:val="20"/>
              </w:rPr>
              <w:t>i</w:t>
            </w:r>
            <w:r w:rsidRPr="00715F2F">
              <w:rPr>
                <w:rFonts w:cs="Calibri"/>
                <w:sz w:val="20"/>
                <w:szCs w:val="20"/>
              </w:rPr>
              <w:t xml:space="preserve">nvitație de participare la ofertare, publicat </w:t>
            </w:r>
            <w:r w:rsidR="001C7C07" w:rsidRPr="00715F2F">
              <w:rPr>
                <w:rFonts w:cs="Calibri"/>
                <w:sz w:val="20"/>
                <w:szCs w:val="20"/>
              </w:rPr>
              <w:t>în SEAP</w:t>
            </w:r>
            <w:r w:rsidR="00B1230B" w:rsidRPr="00715F2F">
              <w:rPr>
                <w:rFonts w:cs="Calibri"/>
                <w:sz w:val="20"/>
                <w:szCs w:val="20"/>
              </w:rPr>
              <w:t xml:space="preserve"> (ADV1301489/30.06.2022</w:t>
            </w:r>
            <w:r w:rsidR="001C7C07" w:rsidRPr="00715F2F">
              <w:rPr>
                <w:rFonts w:cs="Calibri"/>
                <w:sz w:val="20"/>
                <w:szCs w:val="20"/>
              </w:rPr>
              <w:t>, ofertele și documentele însoțitoare</w:t>
            </w:r>
            <w:r w:rsidR="00B23CB6" w:rsidRPr="00715F2F">
              <w:rPr>
                <w:rFonts w:cs="Calibri"/>
                <w:sz w:val="20"/>
                <w:szCs w:val="20"/>
              </w:rPr>
              <w:t xml:space="preserve"> solicitate de autoritatea contractantă</w:t>
            </w:r>
            <w:r w:rsidR="00855562" w:rsidRPr="00715F2F">
              <w:rPr>
                <w:rFonts w:cs="Calibri"/>
                <w:sz w:val="20"/>
                <w:szCs w:val="20"/>
              </w:rPr>
              <w:t>,</w:t>
            </w:r>
            <w:r w:rsidR="001C7C07" w:rsidRPr="00715F2F">
              <w:rPr>
                <w:rFonts w:cs="Calibri"/>
                <w:sz w:val="20"/>
                <w:szCs w:val="20"/>
              </w:rPr>
              <w:t xml:space="preserve"> se transmit, semnate cu semnătură electronică extinsă, la adresa de e-mail </w:t>
            </w:r>
            <w:hyperlink r:id="rId16" w:history="1">
              <w:r w:rsidR="001C7C07" w:rsidRPr="00467655">
                <w:rPr>
                  <w:rStyle w:val="Hyperlink"/>
                  <w:rFonts w:cs="Calibri"/>
                  <w:sz w:val="20"/>
                  <w:szCs w:val="20"/>
                </w:rPr>
                <w:t>achizitiipublice.anabi@just.ro</w:t>
              </w:r>
            </w:hyperlink>
            <w:r w:rsidR="001C7C07" w:rsidRPr="00715F2F">
              <w:rPr>
                <w:rFonts w:cs="Calibri"/>
                <w:sz w:val="20"/>
                <w:szCs w:val="20"/>
              </w:rPr>
              <w:t xml:space="preserve">, iar prețul total al ofertei se va publica în catalogul electronic din SEAP, </w:t>
            </w:r>
            <w:r w:rsidR="00855562" w:rsidRPr="00715F2F">
              <w:rPr>
                <w:rFonts w:cs="Calibri"/>
                <w:sz w:val="20"/>
                <w:szCs w:val="20"/>
              </w:rPr>
              <w:t xml:space="preserve">ambele operațiuni (de transmitere pe e-mail și publicare în SEAP), realizându-se </w:t>
            </w:r>
            <w:r w:rsidR="001C7C07" w:rsidRPr="00715F2F">
              <w:rPr>
                <w:rFonts w:cs="Calibri"/>
                <w:sz w:val="20"/>
                <w:szCs w:val="20"/>
              </w:rPr>
              <w:t>până la data limită</w:t>
            </w:r>
            <w:r w:rsidR="00E058B4" w:rsidRPr="00715F2F">
              <w:rPr>
                <w:rFonts w:cs="Calibri"/>
                <w:sz w:val="20"/>
                <w:szCs w:val="20"/>
              </w:rPr>
              <w:t xml:space="preserve"> de depunere a ofertelor: 29.07.2022, ora 10:00.</w:t>
            </w:r>
          </w:p>
          <w:p w14:paraId="0FD0D279" w14:textId="34A1824B" w:rsidR="00E058B4" w:rsidRDefault="00E058B4" w:rsidP="008F640C">
            <w:pPr>
              <w:spacing w:after="0" w:line="240" w:lineRule="auto"/>
              <w:ind w:left="0" w:right="-30"/>
              <w:rPr>
                <w:rFonts w:cs="Calibri"/>
                <w:color w:val="FF0000"/>
                <w:sz w:val="20"/>
                <w:szCs w:val="20"/>
              </w:rPr>
            </w:pPr>
            <w:r w:rsidRPr="00715F2F">
              <w:rPr>
                <w:rFonts w:cs="Calibri"/>
                <w:sz w:val="20"/>
                <w:szCs w:val="20"/>
              </w:rPr>
              <w:t xml:space="preserve">Toate aceste informații, precum și </w:t>
            </w:r>
            <w:r w:rsidR="00D01436" w:rsidRPr="00715F2F">
              <w:rPr>
                <w:rFonts w:cs="Calibri"/>
                <w:sz w:val="20"/>
                <w:szCs w:val="20"/>
              </w:rPr>
              <w:t xml:space="preserve">instrucțiunile de ofertare cu </w:t>
            </w:r>
            <w:r w:rsidR="00683BE9" w:rsidRPr="00715F2F">
              <w:rPr>
                <w:rFonts w:cs="Calibri"/>
                <w:sz w:val="20"/>
                <w:szCs w:val="20"/>
              </w:rPr>
              <w:t>întreaga documentație de atribuire</w:t>
            </w:r>
            <w:r w:rsidR="00D01436" w:rsidRPr="00715F2F">
              <w:rPr>
                <w:rFonts w:cs="Calibri"/>
                <w:sz w:val="20"/>
                <w:szCs w:val="20"/>
              </w:rPr>
              <w:t>,</w:t>
            </w:r>
            <w:r w:rsidR="00683BE9" w:rsidRPr="00715F2F">
              <w:rPr>
                <w:rFonts w:cs="Calibri"/>
                <w:sz w:val="20"/>
                <w:szCs w:val="20"/>
              </w:rPr>
              <w:t xml:space="preserve"> compusă din</w:t>
            </w:r>
            <w:r w:rsidR="007D4CBC" w:rsidRPr="00715F2F">
              <w:rPr>
                <w:rFonts w:cs="Calibri"/>
                <w:sz w:val="20"/>
                <w:szCs w:val="20"/>
              </w:rPr>
              <w:t>:</w:t>
            </w:r>
            <w:r w:rsidR="00683BE9" w:rsidRPr="00715F2F">
              <w:rPr>
                <w:rFonts w:cs="Calibri"/>
                <w:sz w:val="20"/>
                <w:szCs w:val="20"/>
              </w:rPr>
              <w:t xml:space="preserve"> anunțul de publicitate, </w:t>
            </w:r>
            <w:r w:rsidRPr="00715F2F">
              <w:rPr>
                <w:rFonts w:cs="Calibri"/>
                <w:sz w:val="20"/>
                <w:szCs w:val="20"/>
              </w:rPr>
              <w:t xml:space="preserve">caietul de sarcini, modelul de contract, formularele și modelele documentelor solicitate, le regăsiți în anunțul publicat în SEAP la link-ul: </w:t>
            </w:r>
            <w:hyperlink r:id="rId17" w:history="1">
              <w:r w:rsidR="00683BE9" w:rsidRPr="00715F2F">
                <w:rPr>
                  <w:rStyle w:val="Hyperlink"/>
                  <w:rFonts w:cs="Calibri"/>
                  <w:color w:val="auto"/>
                  <w:sz w:val="20"/>
                  <w:szCs w:val="20"/>
                </w:rPr>
                <w:t>https://www.e-licitatie.ro/pub/notices/adv-notices/view/100420505</w:t>
              </w:r>
            </w:hyperlink>
            <w:r w:rsidR="00683BE9" w:rsidRPr="00715F2F">
              <w:rPr>
                <w:rFonts w:cs="Calibri"/>
                <w:sz w:val="20"/>
                <w:szCs w:val="20"/>
              </w:rPr>
              <w:t xml:space="preserve"> </w:t>
            </w:r>
            <w:r w:rsidR="00A1150A" w:rsidRPr="00715F2F">
              <w:rPr>
                <w:rFonts w:cs="Calibri"/>
                <w:sz w:val="20"/>
                <w:szCs w:val="20"/>
              </w:rPr>
              <w:t xml:space="preserve">precum și pe site-ul ANABI la link-ul: </w:t>
            </w:r>
            <w:hyperlink r:id="rId18" w:history="1">
              <w:r w:rsidR="00A1150A" w:rsidRPr="00467655">
                <w:rPr>
                  <w:rStyle w:val="Hyperlink"/>
                  <w:rFonts w:cs="Calibri"/>
                  <w:sz w:val="20"/>
                  <w:szCs w:val="20"/>
                </w:rPr>
                <w:t>https://anabi.just.ro/achizitii/servicii-pentru-organizarea-de-evenimente-si-cursuri-de-formare-inclusiv-organizarea-conferintei-de-inchidere-a-proiectului-continuarea-consolidarii-si-a-eficientizarii-sistemului-national-de-recuperare-a-creantelor-provenite-din-infractiuni-cod-sipoca-11</w:t>
              </w:r>
            </w:hyperlink>
            <w:r w:rsidR="00A1150A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BA8BEAF" w14:textId="63A7E64F" w:rsidR="00ED02F7" w:rsidRPr="00486D78" w:rsidRDefault="00ED02F7" w:rsidP="00ED02F7">
      <w:pPr>
        <w:rPr>
          <w:bCs/>
          <w:sz w:val="6"/>
          <w:szCs w:val="6"/>
        </w:rPr>
      </w:pPr>
    </w:p>
    <w:p w14:paraId="3B3B6161" w14:textId="7013A9AA" w:rsidR="00ED02F7" w:rsidRPr="00486D78" w:rsidRDefault="00ED02F7" w:rsidP="00ED02F7">
      <w:pPr>
        <w:tabs>
          <w:tab w:val="left" w:pos="5940"/>
        </w:tabs>
        <w:rPr>
          <w:sz w:val="6"/>
          <w:szCs w:val="6"/>
        </w:rPr>
      </w:pPr>
      <w:r w:rsidRPr="00486D78">
        <w:rPr>
          <w:sz w:val="6"/>
          <w:szCs w:val="6"/>
        </w:rPr>
        <w:tab/>
      </w:r>
    </w:p>
    <w:sectPr w:rsidR="00ED02F7" w:rsidRPr="00486D78" w:rsidSect="004B679A">
      <w:headerReference w:type="default" r:id="rId19"/>
      <w:footerReference w:type="default" r:id="rId20"/>
      <w:headerReference w:type="first" r:id="rId21"/>
      <w:footerReference w:type="first" r:id="rId22"/>
      <w:pgSz w:w="16840" w:h="11900" w:orient="landscape" w:code="9"/>
      <w:pgMar w:top="2268" w:right="851" w:bottom="985" w:left="851" w:header="567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4700" w14:textId="77777777" w:rsidR="009F1592" w:rsidRDefault="009F1592" w:rsidP="00CD5B3B">
      <w:r>
        <w:separator/>
      </w:r>
    </w:p>
  </w:endnote>
  <w:endnote w:type="continuationSeparator" w:id="0">
    <w:p w14:paraId="4796C738" w14:textId="77777777" w:rsidR="009F1592" w:rsidRDefault="009F159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11796"/>
      <w:docPartObj>
        <w:docPartGallery w:val="Page Numbers (Top of Page)"/>
        <w:docPartUnique/>
      </w:docPartObj>
    </w:sdtPr>
    <w:sdtContent>
      <w:p w14:paraId="72B48FD3" w14:textId="77777777" w:rsidR="0013128C" w:rsidRPr="00F01F05" w:rsidRDefault="0013128C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13FE76BC" w14:textId="77777777" w:rsidR="0013128C" w:rsidRPr="00F01F05" w:rsidRDefault="0013128C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>Bd. Regina Elisabeta nr. 3, etajele 3 si 5, Sector 3, Bucure</w:t>
        </w:r>
        <w:r>
          <w:rPr>
            <w:color w:val="000000"/>
            <w:sz w:val="14"/>
            <w:szCs w:val="14"/>
          </w:rPr>
          <w:t>ș</w:t>
        </w:r>
        <w:r w:rsidRPr="00F01F05">
          <w:rPr>
            <w:color w:val="000000"/>
            <w:sz w:val="14"/>
            <w:szCs w:val="14"/>
          </w:rPr>
          <w:t>ti, România</w:t>
        </w:r>
      </w:p>
      <w:p w14:paraId="241DBF20" w14:textId="77F78F83" w:rsidR="0013128C" w:rsidRPr="00F01F05" w:rsidRDefault="0013128C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  <w:t xml:space="preserve">Pagina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PAGE </w:instrText>
        </w:r>
        <w:r w:rsidRPr="00F01F05">
          <w:rPr>
            <w:bCs/>
            <w:sz w:val="14"/>
            <w:szCs w:val="14"/>
          </w:rPr>
          <w:fldChar w:fldCharType="separate"/>
        </w:r>
        <w:r w:rsidR="00715F2F">
          <w:rPr>
            <w:bCs/>
            <w:noProof/>
            <w:sz w:val="14"/>
            <w:szCs w:val="14"/>
          </w:rPr>
          <w:t>1</w:t>
        </w:r>
        <w:r w:rsidRPr="00F01F05">
          <w:rPr>
            <w:bCs/>
            <w:sz w:val="14"/>
            <w:szCs w:val="14"/>
          </w:rPr>
          <w:fldChar w:fldCharType="end"/>
        </w:r>
        <w:r w:rsidRPr="00F01F05">
          <w:rPr>
            <w:sz w:val="14"/>
            <w:szCs w:val="14"/>
          </w:rPr>
          <w:t xml:space="preserve"> din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NUMPAGES  </w:instrText>
        </w:r>
        <w:r w:rsidRPr="00F01F05">
          <w:rPr>
            <w:bCs/>
            <w:sz w:val="14"/>
            <w:szCs w:val="14"/>
          </w:rPr>
          <w:fldChar w:fldCharType="separate"/>
        </w:r>
        <w:r w:rsidR="00811D38">
          <w:rPr>
            <w:bCs/>
            <w:noProof/>
            <w:sz w:val="14"/>
            <w:szCs w:val="14"/>
          </w:rPr>
          <w:t>4</w:t>
        </w:r>
        <w:r w:rsidRPr="00F01F05">
          <w:rPr>
            <w:bCs/>
            <w:sz w:val="14"/>
            <w:szCs w:val="14"/>
          </w:rPr>
          <w:fldChar w:fldCharType="end"/>
        </w:r>
      </w:p>
      <w:p w14:paraId="2439E447" w14:textId="77777777" w:rsidR="0013128C" w:rsidRDefault="0013128C" w:rsidP="007E6E4E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6AE" w14:textId="57CD3C6D" w:rsidR="00EC442A" w:rsidRPr="00DE31A4" w:rsidRDefault="00EC442A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  <w:lang w:eastAsia="ro-RO"/>
      </w:rPr>
      <w:drawing>
        <wp:inline distT="0" distB="0" distL="0" distR="0" wp14:anchorId="34044DA6" wp14:editId="2423AB5A">
          <wp:extent cx="6764583" cy="900752"/>
          <wp:effectExtent l="19050" t="0" r="0" b="0"/>
          <wp:docPr id="3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 w:rsidR="00B16828">
      <w:rPr>
        <w:b/>
        <w:bCs/>
        <w:noProof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="00715F2F">
      <w:rPr>
        <w:b/>
        <w:bCs/>
        <w:sz w:val="14"/>
        <w:szCs w:val="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A95" w14:textId="0B240768" w:rsidR="00E80D5E" w:rsidRPr="00DE31A4" w:rsidRDefault="00A13B72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  <w:lang w:eastAsia="ro-RO"/>
      </w:rPr>
      <w:drawing>
        <wp:inline distT="0" distB="0" distL="0" distR="0" wp14:anchorId="2BC28D95" wp14:editId="61BE59B4">
          <wp:extent cx="6764583" cy="900752"/>
          <wp:effectExtent l="19050" t="0" r="0" b="0"/>
          <wp:docPr id="3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1D0" w:rsidRPr="005641D0">
      <w:rPr>
        <w:sz w:val="14"/>
        <w:szCs w:val="2"/>
      </w:rPr>
      <w:t xml:space="preserve"> </w:t>
    </w:r>
    <w:r w:rsidR="005641D0" w:rsidRPr="00DE31A4">
      <w:rPr>
        <w:sz w:val="14"/>
        <w:szCs w:val="2"/>
      </w:rPr>
      <w:t xml:space="preserve">Pagină </w:t>
    </w:r>
    <w:r w:rsidR="005641D0" w:rsidRPr="00DE31A4">
      <w:rPr>
        <w:b/>
        <w:bCs/>
        <w:sz w:val="14"/>
        <w:szCs w:val="2"/>
      </w:rPr>
      <w:fldChar w:fldCharType="begin"/>
    </w:r>
    <w:r w:rsidR="005641D0" w:rsidRPr="00DE31A4">
      <w:rPr>
        <w:b/>
        <w:bCs/>
        <w:sz w:val="14"/>
        <w:szCs w:val="2"/>
      </w:rPr>
      <w:instrText>PAGE  \* Arabic  \* MERGEFORMAT</w:instrText>
    </w:r>
    <w:r w:rsidR="005641D0" w:rsidRPr="00DE31A4">
      <w:rPr>
        <w:b/>
        <w:bCs/>
        <w:sz w:val="14"/>
        <w:szCs w:val="2"/>
      </w:rPr>
      <w:fldChar w:fldCharType="separate"/>
    </w:r>
    <w:r w:rsidR="00B16828">
      <w:rPr>
        <w:b/>
        <w:bCs/>
        <w:noProof/>
        <w:sz w:val="14"/>
        <w:szCs w:val="2"/>
      </w:rPr>
      <w:t>4</w:t>
    </w:r>
    <w:r w:rsidR="005641D0" w:rsidRPr="00DE31A4">
      <w:rPr>
        <w:b/>
        <w:bCs/>
        <w:sz w:val="14"/>
        <w:szCs w:val="2"/>
      </w:rPr>
      <w:fldChar w:fldCharType="end"/>
    </w:r>
    <w:r w:rsidR="005641D0" w:rsidRPr="00DE31A4">
      <w:rPr>
        <w:sz w:val="14"/>
        <w:szCs w:val="2"/>
      </w:rPr>
      <w:t xml:space="preserve"> din </w:t>
    </w:r>
    <w:r w:rsidR="005641D0">
      <w:rPr>
        <w:b/>
        <w:bCs/>
        <w:sz w:val="14"/>
        <w:szCs w:val="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62C" w14:textId="19D2A0B7" w:rsidR="003D6BD7" w:rsidRPr="00DE31A4" w:rsidRDefault="003D6BD7" w:rsidP="0013128C">
    <w:pPr>
      <w:pStyle w:val="Subsol"/>
      <w:ind w:left="-1701"/>
      <w:jc w:val="center"/>
      <w:rPr>
        <w:sz w:val="14"/>
        <w:szCs w:val="2"/>
      </w:rPr>
    </w:pPr>
    <w:r>
      <w:rPr>
        <w:noProof/>
        <w:szCs w:val="2"/>
        <w:lang w:eastAsia="ro-RO"/>
      </w:rPr>
      <w:drawing>
        <wp:inline distT="0" distB="0" distL="0" distR="0" wp14:anchorId="35FB8A8E" wp14:editId="0DFF3EDC">
          <wp:extent cx="6768010" cy="901208"/>
          <wp:effectExtent l="19050" t="0" r="0" b="0"/>
          <wp:docPr id="38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704" cy="90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811D38">
      <w:rPr>
        <w:b/>
        <w:bCs/>
        <w:noProof/>
        <w:sz w:val="14"/>
        <w:szCs w:val="2"/>
      </w:rPr>
      <w:t>4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345D" w14:textId="77777777" w:rsidR="009F1592" w:rsidRDefault="009F1592" w:rsidP="00AE0541">
      <w:pPr>
        <w:spacing w:after="0"/>
        <w:ind w:left="0"/>
      </w:pPr>
      <w:r>
        <w:separator/>
      </w:r>
    </w:p>
  </w:footnote>
  <w:footnote w:type="continuationSeparator" w:id="0">
    <w:p w14:paraId="60129D7F" w14:textId="77777777" w:rsidR="009F1592" w:rsidRDefault="009F1592" w:rsidP="00AE0541">
      <w:pPr>
        <w:ind w:left="0"/>
      </w:pPr>
      <w:r>
        <w:continuationSeparator/>
      </w:r>
    </w:p>
  </w:footnote>
  <w:footnote w:type="continuationNotice" w:id="1">
    <w:p w14:paraId="039BC900" w14:textId="77777777" w:rsidR="009F1592" w:rsidRDefault="009F1592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091" w14:textId="77777777" w:rsidR="0013128C" w:rsidRPr="00E62C3F" w:rsidRDefault="0013128C" w:rsidP="00176AD5">
    <w:pPr>
      <w:pStyle w:val="Antet"/>
      <w:ind w:left="0"/>
    </w:pPr>
    <w:r w:rsidRPr="004845FD">
      <w:rPr>
        <w:noProof/>
        <w:lang w:eastAsia="ro-RO"/>
      </w:rPr>
      <w:drawing>
        <wp:inline distT="0" distB="0" distL="0" distR="0" wp14:anchorId="6471A55C" wp14:editId="76E1A20B">
          <wp:extent cx="3328035" cy="701675"/>
          <wp:effectExtent l="0" t="0" r="5715" b="3175"/>
          <wp:docPr id="32" name="Picture 15" descr="C:\Users\octavian.bira\AppData\Local\Microsoft\Windows\INetCache\Content.Word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tavian.bira\AppData\Local\Microsoft\Windows\INetCache\Content.Word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2F2B8" w14:textId="77777777" w:rsidR="0013128C" w:rsidRDefault="00131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41E" w14:textId="475E4437" w:rsidR="0013128C" w:rsidRDefault="0013128C" w:rsidP="0013128C">
    <w:pPr>
      <w:pStyle w:val="Antet"/>
      <w:tabs>
        <w:tab w:val="clear" w:pos="8640"/>
        <w:tab w:val="left" w:pos="6225"/>
        <w:tab w:val="left" w:pos="6854"/>
        <w:tab w:val="left" w:pos="7592"/>
        <w:tab w:val="left" w:pos="7776"/>
      </w:tabs>
      <w:ind w:left="0"/>
      <w:jc w:val="center"/>
    </w:pPr>
    <w:r>
      <w:rPr>
        <w:noProof/>
        <w:sz w:val="2"/>
        <w:szCs w:val="2"/>
        <w:lang w:eastAsia="ro-RO"/>
      </w:rPr>
      <w:drawing>
        <wp:inline distT="0" distB="0" distL="0" distR="0" wp14:anchorId="066BDFAE" wp14:editId="7370C6B0">
          <wp:extent cx="6705600" cy="857250"/>
          <wp:effectExtent l="0" t="0" r="0" b="0"/>
          <wp:docPr id="3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6597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eastAsia="ro-RO"/>
      </w:rPr>
      <w:drawing>
        <wp:inline distT="0" distB="0" distL="0" distR="0" wp14:anchorId="32F90964" wp14:editId="16EA0B5C">
          <wp:extent cx="3160878" cy="535236"/>
          <wp:effectExtent l="19050" t="0" r="1422" b="0"/>
          <wp:docPr id="35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937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  <w:lang w:eastAsia="ro-RO"/>
      </w:rPr>
      <w:drawing>
        <wp:inline distT="0" distB="0" distL="0" distR="0" wp14:anchorId="5E8440A8" wp14:editId="4F095E4E">
          <wp:extent cx="6705600" cy="857250"/>
          <wp:effectExtent l="0" t="0" r="0" b="0"/>
          <wp:docPr id="37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A"/>
    <w:multiLevelType w:val="hybridMultilevel"/>
    <w:tmpl w:val="B20E432E"/>
    <w:lvl w:ilvl="0" w:tplc="DD9EB19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34A4A"/>
    <w:multiLevelType w:val="hybridMultilevel"/>
    <w:tmpl w:val="C89EFC6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8000F">
      <w:start w:val="1"/>
      <w:numFmt w:val="decimal"/>
      <w:lvlText w:val="%3."/>
      <w:lvlJc w:val="lef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39479568">
    <w:abstractNumId w:val="1"/>
  </w:num>
  <w:num w:numId="2" w16cid:durableId="75636663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792668">
    <w:abstractNumId w:val="3"/>
  </w:num>
  <w:num w:numId="4" w16cid:durableId="811096669">
    <w:abstractNumId w:val="2"/>
  </w:num>
  <w:num w:numId="5" w16cid:durableId="117017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160B2"/>
    <w:rsid w:val="00023330"/>
    <w:rsid w:val="00036760"/>
    <w:rsid w:val="00036CF6"/>
    <w:rsid w:val="00037D3E"/>
    <w:rsid w:val="00041AC2"/>
    <w:rsid w:val="00041D66"/>
    <w:rsid w:val="00045C52"/>
    <w:rsid w:val="000562D9"/>
    <w:rsid w:val="00073C92"/>
    <w:rsid w:val="00082FF0"/>
    <w:rsid w:val="000B3407"/>
    <w:rsid w:val="000C29D4"/>
    <w:rsid w:val="000C7C70"/>
    <w:rsid w:val="000D5F00"/>
    <w:rsid w:val="000E2331"/>
    <w:rsid w:val="000F2B62"/>
    <w:rsid w:val="000F4FA8"/>
    <w:rsid w:val="000F52D3"/>
    <w:rsid w:val="00100F36"/>
    <w:rsid w:val="00102D15"/>
    <w:rsid w:val="001223F2"/>
    <w:rsid w:val="001260D5"/>
    <w:rsid w:val="00126AD1"/>
    <w:rsid w:val="0013128C"/>
    <w:rsid w:val="00133BA9"/>
    <w:rsid w:val="001370A1"/>
    <w:rsid w:val="00147CD9"/>
    <w:rsid w:val="00157BC6"/>
    <w:rsid w:val="001612F1"/>
    <w:rsid w:val="00163DB8"/>
    <w:rsid w:val="00166AFF"/>
    <w:rsid w:val="00190AB1"/>
    <w:rsid w:val="0019195F"/>
    <w:rsid w:val="00197425"/>
    <w:rsid w:val="001B5B37"/>
    <w:rsid w:val="001B61B7"/>
    <w:rsid w:val="001C04D8"/>
    <w:rsid w:val="001C6924"/>
    <w:rsid w:val="001C74D8"/>
    <w:rsid w:val="001C7C07"/>
    <w:rsid w:val="001D1DBF"/>
    <w:rsid w:val="001D2FDC"/>
    <w:rsid w:val="001D4CFD"/>
    <w:rsid w:val="00201C1C"/>
    <w:rsid w:val="002059EF"/>
    <w:rsid w:val="00205F01"/>
    <w:rsid w:val="00210BB5"/>
    <w:rsid w:val="002118AF"/>
    <w:rsid w:val="00211EB4"/>
    <w:rsid w:val="00212862"/>
    <w:rsid w:val="00212A34"/>
    <w:rsid w:val="0021658E"/>
    <w:rsid w:val="0023249B"/>
    <w:rsid w:val="0023635A"/>
    <w:rsid w:val="002409ED"/>
    <w:rsid w:val="00241D30"/>
    <w:rsid w:val="00246B64"/>
    <w:rsid w:val="00251A82"/>
    <w:rsid w:val="00260A3B"/>
    <w:rsid w:val="00274FDD"/>
    <w:rsid w:val="00284604"/>
    <w:rsid w:val="0029274F"/>
    <w:rsid w:val="002A5742"/>
    <w:rsid w:val="002B2D08"/>
    <w:rsid w:val="002B51B8"/>
    <w:rsid w:val="002C1E76"/>
    <w:rsid w:val="002C1E8C"/>
    <w:rsid w:val="002C5E09"/>
    <w:rsid w:val="002C6B1F"/>
    <w:rsid w:val="002E31C7"/>
    <w:rsid w:val="002F78BF"/>
    <w:rsid w:val="00305523"/>
    <w:rsid w:val="00312E32"/>
    <w:rsid w:val="0032422C"/>
    <w:rsid w:val="0033044F"/>
    <w:rsid w:val="0033324E"/>
    <w:rsid w:val="003453FD"/>
    <w:rsid w:val="00345CCE"/>
    <w:rsid w:val="00357ADC"/>
    <w:rsid w:val="0037499F"/>
    <w:rsid w:val="00391577"/>
    <w:rsid w:val="003A4E2B"/>
    <w:rsid w:val="003B6074"/>
    <w:rsid w:val="003B7F56"/>
    <w:rsid w:val="003C21CF"/>
    <w:rsid w:val="003D6BD7"/>
    <w:rsid w:val="003E6214"/>
    <w:rsid w:val="003F4174"/>
    <w:rsid w:val="004001F6"/>
    <w:rsid w:val="004067DA"/>
    <w:rsid w:val="00411F56"/>
    <w:rsid w:val="00420D84"/>
    <w:rsid w:val="00424ABE"/>
    <w:rsid w:val="004336E0"/>
    <w:rsid w:val="00435A22"/>
    <w:rsid w:val="00440C43"/>
    <w:rsid w:val="00440D69"/>
    <w:rsid w:val="004502E0"/>
    <w:rsid w:val="00462299"/>
    <w:rsid w:val="00463865"/>
    <w:rsid w:val="00474F80"/>
    <w:rsid w:val="00486D78"/>
    <w:rsid w:val="00493AD5"/>
    <w:rsid w:val="00496CEA"/>
    <w:rsid w:val="004B679A"/>
    <w:rsid w:val="004F094D"/>
    <w:rsid w:val="005000CD"/>
    <w:rsid w:val="00500AEB"/>
    <w:rsid w:val="00516E91"/>
    <w:rsid w:val="00524DCF"/>
    <w:rsid w:val="0053181F"/>
    <w:rsid w:val="00532520"/>
    <w:rsid w:val="00533CE7"/>
    <w:rsid w:val="00536FBC"/>
    <w:rsid w:val="00543045"/>
    <w:rsid w:val="00543E9C"/>
    <w:rsid w:val="005552C7"/>
    <w:rsid w:val="005641D0"/>
    <w:rsid w:val="00567900"/>
    <w:rsid w:val="00570CD9"/>
    <w:rsid w:val="005724BD"/>
    <w:rsid w:val="00582C2F"/>
    <w:rsid w:val="0058764F"/>
    <w:rsid w:val="00597DCD"/>
    <w:rsid w:val="005A19D4"/>
    <w:rsid w:val="005B4ADB"/>
    <w:rsid w:val="005B5847"/>
    <w:rsid w:val="005C7D94"/>
    <w:rsid w:val="005D76EE"/>
    <w:rsid w:val="005E1691"/>
    <w:rsid w:val="005E6FFA"/>
    <w:rsid w:val="005F2E1D"/>
    <w:rsid w:val="00604DD4"/>
    <w:rsid w:val="006067F4"/>
    <w:rsid w:val="00614959"/>
    <w:rsid w:val="00627BDB"/>
    <w:rsid w:val="00661B7A"/>
    <w:rsid w:val="00670A06"/>
    <w:rsid w:val="006727F3"/>
    <w:rsid w:val="006751B6"/>
    <w:rsid w:val="00677FEB"/>
    <w:rsid w:val="006832E8"/>
    <w:rsid w:val="00683BE9"/>
    <w:rsid w:val="00693D28"/>
    <w:rsid w:val="00696154"/>
    <w:rsid w:val="006A018E"/>
    <w:rsid w:val="006A0A7D"/>
    <w:rsid w:val="006A263E"/>
    <w:rsid w:val="006B161F"/>
    <w:rsid w:val="006B528B"/>
    <w:rsid w:val="006D0B2A"/>
    <w:rsid w:val="006D4E2C"/>
    <w:rsid w:val="006D74DF"/>
    <w:rsid w:val="006E1065"/>
    <w:rsid w:val="006E6435"/>
    <w:rsid w:val="006E6F7D"/>
    <w:rsid w:val="006F6023"/>
    <w:rsid w:val="00715F2F"/>
    <w:rsid w:val="00722BEC"/>
    <w:rsid w:val="00725F2C"/>
    <w:rsid w:val="00735B99"/>
    <w:rsid w:val="00743D2D"/>
    <w:rsid w:val="0075240C"/>
    <w:rsid w:val="00766223"/>
    <w:rsid w:val="00766E0E"/>
    <w:rsid w:val="007735EF"/>
    <w:rsid w:val="007802CA"/>
    <w:rsid w:val="00781E9B"/>
    <w:rsid w:val="00782AC3"/>
    <w:rsid w:val="00783581"/>
    <w:rsid w:val="00783FB6"/>
    <w:rsid w:val="00784062"/>
    <w:rsid w:val="00794F2A"/>
    <w:rsid w:val="007956A8"/>
    <w:rsid w:val="007A037C"/>
    <w:rsid w:val="007A2E82"/>
    <w:rsid w:val="007A54D6"/>
    <w:rsid w:val="007A57A0"/>
    <w:rsid w:val="007B49F0"/>
    <w:rsid w:val="007B5B2A"/>
    <w:rsid w:val="007B760F"/>
    <w:rsid w:val="007D44B0"/>
    <w:rsid w:val="007D4CBC"/>
    <w:rsid w:val="007E254A"/>
    <w:rsid w:val="007E61E1"/>
    <w:rsid w:val="007F0510"/>
    <w:rsid w:val="00811D38"/>
    <w:rsid w:val="00815443"/>
    <w:rsid w:val="008231E2"/>
    <w:rsid w:val="00823572"/>
    <w:rsid w:val="00840F14"/>
    <w:rsid w:val="00844C32"/>
    <w:rsid w:val="00850A74"/>
    <w:rsid w:val="00855562"/>
    <w:rsid w:val="008572C3"/>
    <w:rsid w:val="00871DA8"/>
    <w:rsid w:val="0087518B"/>
    <w:rsid w:val="008A275F"/>
    <w:rsid w:val="008A2AC0"/>
    <w:rsid w:val="008A4458"/>
    <w:rsid w:val="008A4B13"/>
    <w:rsid w:val="008A5B57"/>
    <w:rsid w:val="008B63B2"/>
    <w:rsid w:val="008C46F1"/>
    <w:rsid w:val="008C50D3"/>
    <w:rsid w:val="008E57FE"/>
    <w:rsid w:val="008F640C"/>
    <w:rsid w:val="008F7828"/>
    <w:rsid w:val="00915096"/>
    <w:rsid w:val="00915E02"/>
    <w:rsid w:val="009221AD"/>
    <w:rsid w:val="00935D33"/>
    <w:rsid w:val="009415B7"/>
    <w:rsid w:val="0094530E"/>
    <w:rsid w:val="00957CA5"/>
    <w:rsid w:val="009606C1"/>
    <w:rsid w:val="00962F05"/>
    <w:rsid w:val="009841AB"/>
    <w:rsid w:val="00985FAD"/>
    <w:rsid w:val="00986C16"/>
    <w:rsid w:val="009B4F4C"/>
    <w:rsid w:val="009B79E1"/>
    <w:rsid w:val="009C0183"/>
    <w:rsid w:val="009C713A"/>
    <w:rsid w:val="009E4A47"/>
    <w:rsid w:val="009E7609"/>
    <w:rsid w:val="009F1592"/>
    <w:rsid w:val="009F2291"/>
    <w:rsid w:val="00A016F9"/>
    <w:rsid w:val="00A04970"/>
    <w:rsid w:val="00A04EF5"/>
    <w:rsid w:val="00A1150A"/>
    <w:rsid w:val="00A13890"/>
    <w:rsid w:val="00A13B72"/>
    <w:rsid w:val="00A21CB8"/>
    <w:rsid w:val="00A223E9"/>
    <w:rsid w:val="00A33ACE"/>
    <w:rsid w:val="00A37AD2"/>
    <w:rsid w:val="00A413D4"/>
    <w:rsid w:val="00A420EC"/>
    <w:rsid w:val="00A47C74"/>
    <w:rsid w:val="00A53C21"/>
    <w:rsid w:val="00A5589B"/>
    <w:rsid w:val="00A55924"/>
    <w:rsid w:val="00A56EDF"/>
    <w:rsid w:val="00A7250C"/>
    <w:rsid w:val="00A7669D"/>
    <w:rsid w:val="00A76F3A"/>
    <w:rsid w:val="00A86058"/>
    <w:rsid w:val="00A86F77"/>
    <w:rsid w:val="00A91D5E"/>
    <w:rsid w:val="00AB27A1"/>
    <w:rsid w:val="00AB3BE9"/>
    <w:rsid w:val="00AC243A"/>
    <w:rsid w:val="00AC3A35"/>
    <w:rsid w:val="00AD0031"/>
    <w:rsid w:val="00AE0541"/>
    <w:rsid w:val="00AE26B4"/>
    <w:rsid w:val="00AE3806"/>
    <w:rsid w:val="00AF52C0"/>
    <w:rsid w:val="00AF571A"/>
    <w:rsid w:val="00B0766C"/>
    <w:rsid w:val="00B1230B"/>
    <w:rsid w:val="00B13BB4"/>
    <w:rsid w:val="00B16828"/>
    <w:rsid w:val="00B22A84"/>
    <w:rsid w:val="00B23CB6"/>
    <w:rsid w:val="00B262FF"/>
    <w:rsid w:val="00B31E1A"/>
    <w:rsid w:val="00B41CEA"/>
    <w:rsid w:val="00B41E83"/>
    <w:rsid w:val="00B44A28"/>
    <w:rsid w:val="00B471AB"/>
    <w:rsid w:val="00B52758"/>
    <w:rsid w:val="00B57F78"/>
    <w:rsid w:val="00B6297B"/>
    <w:rsid w:val="00B629C3"/>
    <w:rsid w:val="00BA676F"/>
    <w:rsid w:val="00BB01F1"/>
    <w:rsid w:val="00BD2C8E"/>
    <w:rsid w:val="00BD33DE"/>
    <w:rsid w:val="00BD5FE2"/>
    <w:rsid w:val="00BD6CB6"/>
    <w:rsid w:val="00BD7CD3"/>
    <w:rsid w:val="00C01AB9"/>
    <w:rsid w:val="00C05271"/>
    <w:rsid w:val="00C05F49"/>
    <w:rsid w:val="00C1009B"/>
    <w:rsid w:val="00C100D6"/>
    <w:rsid w:val="00C10924"/>
    <w:rsid w:val="00C20263"/>
    <w:rsid w:val="00C20EF1"/>
    <w:rsid w:val="00C23F48"/>
    <w:rsid w:val="00C54591"/>
    <w:rsid w:val="00C67F46"/>
    <w:rsid w:val="00C729A2"/>
    <w:rsid w:val="00C76241"/>
    <w:rsid w:val="00C7672C"/>
    <w:rsid w:val="00C76D35"/>
    <w:rsid w:val="00C858FB"/>
    <w:rsid w:val="00C91855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E0488"/>
    <w:rsid w:val="00CF2665"/>
    <w:rsid w:val="00CF7326"/>
    <w:rsid w:val="00D01436"/>
    <w:rsid w:val="00D01A2D"/>
    <w:rsid w:val="00D06E9C"/>
    <w:rsid w:val="00D11053"/>
    <w:rsid w:val="00D12625"/>
    <w:rsid w:val="00D14993"/>
    <w:rsid w:val="00D14BE6"/>
    <w:rsid w:val="00D16050"/>
    <w:rsid w:val="00D31B4D"/>
    <w:rsid w:val="00D34BF8"/>
    <w:rsid w:val="00D37F66"/>
    <w:rsid w:val="00D66F83"/>
    <w:rsid w:val="00D8493B"/>
    <w:rsid w:val="00D86F1D"/>
    <w:rsid w:val="00DA0762"/>
    <w:rsid w:val="00DA07F8"/>
    <w:rsid w:val="00DA29FD"/>
    <w:rsid w:val="00DB1F14"/>
    <w:rsid w:val="00DC07DE"/>
    <w:rsid w:val="00DC13E8"/>
    <w:rsid w:val="00DE0F56"/>
    <w:rsid w:val="00DE31A4"/>
    <w:rsid w:val="00DE3285"/>
    <w:rsid w:val="00E02AD1"/>
    <w:rsid w:val="00E058B4"/>
    <w:rsid w:val="00E077D0"/>
    <w:rsid w:val="00E10419"/>
    <w:rsid w:val="00E10F76"/>
    <w:rsid w:val="00E205CE"/>
    <w:rsid w:val="00E30E80"/>
    <w:rsid w:val="00E43343"/>
    <w:rsid w:val="00E52244"/>
    <w:rsid w:val="00E55851"/>
    <w:rsid w:val="00E562FC"/>
    <w:rsid w:val="00E7049D"/>
    <w:rsid w:val="00E80D5E"/>
    <w:rsid w:val="00E9099A"/>
    <w:rsid w:val="00EA0F6C"/>
    <w:rsid w:val="00EB00E2"/>
    <w:rsid w:val="00EB7940"/>
    <w:rsid w:val="00EB7AB8"/>
    <w:rsid w:val="00EC442A"/>
    <w:rsid w:val="00ED02F7"/>
    <w:rsid w:val="00ED1121"/>
    <w:rsid w:val="00ED56C3"/>
    <w:rsid w:val="00EE32F2"/>
    <w:rsid w:val="00EF47A5"/>
    <w:rsid w:val="00F0015D"/>
    <w:rsid w:val="00F070CB"/>
    <w:rsid w:val="00F13165"/>
    <w:rsid w:val="00F35A04"/>
    <w:rsid w:val="00F44C26"/>
    <w:rsid w:val="00F47C8C"/>
    <w:rsid w:val="00F56471"/>
    <w:rsid w:val="00F64C1A"/>
    <w:rsid w:val="00F67D20"/>
    <w:rsid w:val="00F75C06"/>
    <w:rsid w:val="00F8354D"/>
    <w:rsid w:val="00F92EEA"/>
    <w:rsid w:val="00FB2455"/>
    <w:rsid w:val="00FB6D27"/>
    <w:rsid w:val="00FB7612"/>
    <w:rsid w:val="00FC0567"/>
    <w:rsid w:val="00FC22D0"/>
    <w:rsid w:val="00FC2C16"/>
    <w:rsid w:val="00FC31CD"/>
    <w:rsid w:val="00FC4284"/>
    <w:rsid w:val="00FC4CB4"/>
    <w:rsid w:val="00FE2F2C"/>
    <w:rsid w:val="00FF0A7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3BB1F"/>
  <w15:docId w15:val="{AC0F71FF-56F8-4435-8415-B5A781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BD33DE"/>
    <w:pPr>
      <w:ind w:left="720"/>
      <w:contextualSpacing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5A19D4"/>
    <w:rPr>
      <w:color w:val="605E5C"/>
      <w:shd w:val="clear" w:color="auto" w:fill="E1DFDD"/>
    </w:rPr>
  </w:style>
  <w:style w:type="paragraph" w:styleId="Revizuire">
    <w:name w:val="Revision"/>
    <w:hidden/>
    <w:uiPriority w:val="71"/>
    <w:semiHidden/>
    <w:rsid w:val="002C1E76"/>
    <w:rPr>
      <w:rFonts w:ascii="Trebuchet MS" w:hAnsi="Trebuchet MS"/>
      <w:sz w:val="22"/>
      <w:szCs w:val="22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336E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336E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336E0"/>
    <w:rPr>
      <w:rFonts w:ascii="Trebuchet MS" w:hAnsi="Trebuchet MS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336E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336E0"/>
    <w:rPr>
      <w:rFonts w:ascii="Trebuchet MS" w:hAnsi="Trebuchet MS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3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anabi.just.ro/achizitii/servicii-pentru-organizarea-de-evenimente-si-cursuri-de-formare-inclusiv-organizarea-conferintei-de-inchidere-a-proiectului-continuarea-consolidarii-si-a-eficientizarii-sistemului-national-de-recuperare-a-creantelor-provenite-din-infractiuni-cod-sipoca-11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e-licitatie.ro/pub/notices/adv-notices/view/10042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hizitiipublice.anabi@just.ro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www.just.ro/informatii-de-interes-public/achizitii-public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CC78-303A-46F4-97DD-1BAD9A0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1211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Laviniu-Madalin SIMION</cp:lastModifiedBy>
  <cp:revision>3</cp:revision>
  <cp:lastPrinted>2022-07-21T07:31:00Z</cp:lastPrinted>
  <dcterms:created xsi:type="dcterms:W3CDTF">2022-07-21T14:09:00Z</dcterms:created>
  <dcterms:modified xsi:type="dcterms:W3CDTF">2022-07-21T14:10:00Z</dcterms:modified>
</cp:coreProperties>
</file>